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14:anchorId="752C128E" wp14:editId="36D0B790">
            <wp:simplePos x="0" y="0"/>
            <wp:positionH relativeFrom="margin">
              <wp:posOffset>2806065</wp:posOffset>
            </wp:positionH>
            <wp:positionV relativeFrom="page">
              <wp:posOffset>219075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4D1DD0">
              <w:t>19.07.2019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4D1DD0">
            <w:pPr>
              <w:tabs>
                <w:tab w:val="left" w:pos="3123"/>
                <w:tab w:val="left" w:pos="3270"/>
              </w:tabs>
              <w:jc w:val="right"/>
            </w:pPr>
            <w:r w:rsidRPr="00360CF1">
              <w:t xml:space="preserve">№ </w:t>
            </w:r>
            <w:r w:rsidR="004D1DD0">
              <w:t>1453</w:t>
            </w:r>
            <w:r w:rsidRPr="00360CF1">
              <w:t xml:space="preserve">          </w:t>
            </w:r>
          </w:p>
        </w:tc>
      </w:tr>
    </w:tbl>
    <w:p w:rsidR="009B3E11" w:rsidRDefault="009B3E11" w:rsidP="009B3E11">
      <w:pPr>
        <w:tabs>
          <w:tab w:val="left" w:pos="4111"/>
        </w:tabs>
        <w:jc w:val="both"/>
      </w:pPr>
    </w:p>
    <w:p w:rsidR="009B3E11" w:rsidRDefault="009B3E11" w:rsidP="009B3E11">
      <w:pPr>
        <w:ind w:firstLine="705"/>
        <w:jc w:val="both"/>
      </w:pPr>
    </w:p>
    <w:p w:rsidR="00BC0D16" w:rsidRPr="00BC0D16" w:rsidRDefault="00BC0D16" w:rsidP="00C3344F">
      <w:pPr>
        <w:ind w:right="4960"/>
        <w:jc w:val="both"/>
      </w:pPr>
      <w:r w:rsidRPr="00BC0D16">
        <w:t xml:space="preserve">О прогнозе социально-экономического развития Нижневартовского района </w:t>
      </w:r>
      <w:r w:rsidR="00C3344F">
        <w:t xml:space="preserve">             </w:t>
      </w:r>
      <w:r w:rsidRPr="00BC0D16">
        <w:t>на период до 2025 года</w:t>
      </w:r>
    </w:p>
    <w:p w:rsidR="00BC0D16" w:rsidRPr="00BC0D16" w:rsidRDefault="00BC0D16" w:rsidP="00BC0D16"/>
    <w:p w:rsidR="00BC0D16" w:rsidRPr="00BC0D16" w:rsidRDefault="00BC0D16" w:rsidP="00BC0D16"/>
    <w:p w:rsidR="00BC0D16" w:rsidRPr="00BC0D16" w:rsidRDefault="00BC0D16" w:rsidP="005420A2">
      <w:pPr>
        <w:ind w:firstLine="709"/>
        <w:jc w:val="both"/>
      </w:pPr>
      <w:proofErr w:type="gramStart"/>
      <w:r w:rsidRPr="00BC0D16">
        <w:t>В соответствии с п</w:t>
      </w:r>
      <w:r w:rsidR="00BD670B">
        <w:t xml:space="preserve">унктом </w:t>
      </w:r>
      <w:r w:rsidRPr="00BC0D16">
        <w:t xml:space="preserve">3.2 постановления администрации района </w:t>
      </w:r>
      <w:r w:rsidR="00BD670B">
        <w:t xml:space="preserve">                   </w:t>
      </w:r>
      <w:r w:rsidRPr="00BC0D16">
        <w:rPr>
          <w:rFonts w:eastAsia="Calibri"/>
          <w:lang w:eastAsia="en-US"/>
        </w:rPr>
        <w:t>от 17.12.2015 № 2475 «О Порядке разработки, корректировки, осуществления мониторинга и контроля реализации прогноза социально-экономического развития Нижневартовского района на долгосрочный период»</w:t>
      </w:r>
      <w:r w:rsidR="00BD670B">
        <w:rPr>
          <w:rFonts w:eastAsia="Calibri"/>
          <w:lang w:eastAsia="en-US"/>
        </w:rPr>
        <w:t>,</w:t>
      </w:r>
      <w:r w:rsidRPr="00BC0D16">
        <w:t xml:space="preserve"> в связи </w:t>
      </w:r>
      <w:r w:rsidR="00BD670B">
        <w:t xml:space="preserve">                             </w:t>
      </w:r>
      <w:r w:rsidRPr="00BC0D16">
        <w:t>с принятием распоряжения Правительства Ханты-Мансийского автономного округа –</w:t>
      </w:r>
      <w:r w:rsidR="00BD670B">
        <w:t xml:space="preserve"> </w:t>
      </w:r>
      <w:r w:rsidRPr="00BC0D16">
        <w:t>Югры от 25.01.2019 №</w:t>
      </w:r>
      <w:r w:rsidR="00BD670B">
        <w:t xml:space="preserve"> </w:t>
      </w:r>
      <w:r w:rsidRPr="00BC0D16">
        <w:t>36-рп «О прогнозе социально-экономического развития Ханты-Мансийского автономного округа</w:t>
      </w:r>
      <w:r w:rsidR="00BD670B">
        <w:t xml:space="preserve"> − </w:t>
      </w:r>
      <w:r w:rsidRPr="00BC0D16">
        <w:t>Югры на период до 2036 года»</w:t>
      </w:r>
      <w:r w:rsidRPr="00BC0D16">
        <w:rPr>
          <w:rFonts w:eastAsia="Calibri"/>
          <w:lang w:eastAsia="en-US"/>
        </w:rPr>
        <w:t>:</w:t>
      </w:r>
      <w:r w:rsidRPr="00BC0D16">
        <w:t xml:space="preserve"> </w:t>
      </w:r>
      <w:proofErr w:type="gramEnd"/>
    </w:p>
    <w:p w:rsidR="00BC0D16" w:rsidRPr="00BC0D16" w:rsidRDefault="00BC0D16" w:rsidP="005420A2">
      <w:pPr>
        <w:ind w:firstLine="709"/>
        <w:jc w:val="both"/>
      </w:pPr>
    </w:p>
    <w:p w:rsidR="00BC0D16" w:rsidRPr="00BC0D16" w:rsidRDefault="00BC0D16" w:rsidP="005420A2">
      <w:pPr>
        <w:ind w:firstLine="709"/>
        <w:jc w:val="both"/>
      </w:pPr>
      <w:r w:rsidRPr="00BC0D16">
        <w:t>1. Одобрить прогноз социально-экономического развития Нижневартовского района на период до 2025 года согласно приложению.</w:t>
      </w:r>
    </w:p>
    <w:p w:rsidR="00BC0D16" w:rsidRPr="00BC0D16" w:rsidRDefault="00BC0D16" w:rsidP="005420A2">
      <w:pPr>
        <w:ind w:firstLine="709"/>
        <w:jc w:val="both"/>
      </w:pPr>
    </w:p>
    <w:p w:rsidR="00BC0D16" w:rsidRPr="00BC0D16" w:rsidRDefault="00BC0D16" w:rsidP="005420A2">
      <w:pPr>
        <w:ind w:firstLine="709"/>
        <w:jc w:val="both"/>
      </w:pPr>
      <w:r w:rsidRPr="00BC0D16">
        <w:t xml:space="preserve">2. </w:t>
      </w:r>
      <w:proofErr w:type="gramStart"/>
      <w:r w:rsidRPr="00BC0D16">
        <w:t>Департаменту финансов администрации района в целях формирования проекта бюджетного прогноза на долгосрочный период руководствоваться прогнозом социально-экономического развития района на долгосрочный период.</w:t>
      </w:r>
      <w:proofErr w:type="gramEnd"/>
    </w:p>
    <w:p w:rsidR="00BC0D16" w:rsidRPr="00BC0D16" w:rsidRDefault="00BC0D16" w:rsidP="005420A2">
      <w:pPr>
        <w:ind w:firstLine="709"/>
        <w:jc w:val="both"/>
      </w:pPr>
    </w:p>
    <w:p w:rsidR="00BC0D16" w:rsidRPr="00BC0D16" w:rsidRDefault="00BC0D16" w:rsidP="005420A2">
      <w:pPr>
        <w:ind w:firstLine="709"/>
        <w:jc w:val="both"/>
      </w:pPr>
      <w:r w:rsidRPr="00BC0D16">
        <w:t xml:space="preserve">3. </w:t>
      </w:r>
      <w:proofErr w:type="gramStart"/>
      <w:r w:rsidRPr="00BC0D16">
        <w:t>Контроль за</w:t>
      </w:r>
      <w:proofErr w:type="gramEnd"/>
      <w:r w:rsidRPr="00BC0D16">
        <w:t xml:space="preserve"> выполнением постановления возложить на заместителя главы района по экономике и финансам Т.А. Колокольцеву.</w:t>
      </w:r>
    </w:p>
    <w:p w:rsidR="00BC0D16" w:rsidRPr="00BC0D16" w:rsidRDefault="00BC0D16" w:rsidP="00BC0D16"/>
    <w:p w:rsidR="00BC0D16" w:rsidRDefault="00BC0D16" w:rsidP="00BC0D16"/>
    <w:p w:rsidR="005420A2" w:rsidRPr="00BC0D16" w:rsidRDefault="005420A2" w:rsidP="00BC0D16"/>
    <w:p w:rsidR="005420A2" w:rsidRDefault="005420A2" w:rsidP="005420A2">
      <w:pPr>
        <w:adjustRightInd w:val="0"/>
        <w:jc w:val="both"/>
        <w:outlineLvl w:val="0"/>
        <w:rPr>
          <w:bCs/>
        </w:rPr>
      </w:pPr>
      <w:proofErr w:type="gramStart"/>
      <w:r>
        <w:rPr>
          <w:bCs/>
        </w:rPr>
        <w:t>Исполняющий</w:t>
      </w:r>
      <w:proofErr w:type="gramEnd"/>
      <w:r>
        <w:rPr>
          <w:bCs/>
        </w:rPr>
        <w:t xml:space="preserve"> обязанности                                                          Т.А. Колокольцева</w:t>
      </w:r>
    </w:p>
    <w:p w:rsidR="005420A2" w:rsidRDefault="005420A2" w:rsidP="005420A2">
      <w:pPr>
        <w:adjustRightInd w:val="0"/>
        <w:jc w:val="both"/>
        <w:outlineLvl w:val="0"/>
        <w:rPr>
          <w:bCs/>
        </w:rPr>
      </w:pPr>
      <w:r>
        <w:rPr>
          <w:bCs/>
        </w:rPr>
        <w:t>главы района</w:t>
      </w:r>
    </w:p>
    <w:p w:rsidR="00BC0D16" w:rsidRPr="00BC0D16" w:rsidRDefault="00BC0D16" w:rsidP="00BC0D16">
      <w:pPr>
        <w:sectPr w:rsidR="00BC0D16" w:rsidRPr="00BC0D16" w:rsidSect="00BD670B">
          <w:headerReference w:type="even" r:id="rId10"/>
          <w:headerReference w:type="default" r:id="rId11"/>
          <w:pgSz w:w="11906" w:h="16838"/>
          <w:pgMar w:top="1134" w:right="567" w:bottom="1134" w:left="1701" w:header="709" w:footer="709" w:gutter="0"/>
          <w:cols w:space="708"/>
          <w:docGrid w:linePitch="360"/>
        </w:sectPr>
      </w:pPr>
    </w:p>
    <w:p w:rsidR="005420A2" w:rsidRPr="00C33D69" w:rsidRDefault="005420A2" w:rsidP="005420A2">
      <w:pPr>
        <w:widowControl w:val="0"/>
        <w:suppressAutoHyphens/>
        <w:ind w:left="5954"/>
        <w:jc w:val="both"/>
        <w:rPr>
          <w:szCs w:val="24"/>
        </w:rPr>
      </w:pPr>
      <w:r w:rsidRPr="00C33D69">
        <w:rPr>
          <w:szCs w:val="24"/>
        </w:rPr>
        <w:lastRenderedPageBreak/>
        <w:t>Приложение к постановлению</w:t>
      </w:r>
    </w:p>
    <w:p w:rsidR="005420A2" w:rsidRPr="00C33D69" w:rsidRDefault="005420A2" w:rsidP="005420A2">
      <w:pPr>
        <w:widowControl w:val="0"/>
        <w:suppressAutoHyphens/>
        <w:ind w:left="5954"/>
        <w:jc w:val="both"/>
        <w:rPr>
          <w:szCs w:val="24"/>
        </w:rPr>
      </w:pPr>
      <w:r w:rsidRPr="00C33D69">
        <w:rPr>
          <w:szCs w:val="24"/>
        </w:rPr>
        <w:t>администрации района</w:t>
      </w:r>
    </w:p>
    <w:p w:rsidR="005420A2" w:rsidRPr="00C33D69" w:rsidRDefault="005420A2" w:rsidP="005420A2">
      <w:pPr>
        <w:widowControl w:val="0"/>
        <w:suppressAutoHyphens/>
        <w:ind w:left="5954"/>
        <w:jc w:val="both"/>
        <w:rPr>
          <w:szCs w:val="24"/>
        </w:rPr>
      </w:pPr>
      <w:r w:rsidRPr="00C33D69">
        <w:rPr>
          <w:szCs w:val="24"/>
        </w:rPr>
        <w:t>от</w:t>
      </w:r>
      <w:r>
        <w:rPr>
          <w:szCs w:val="24"/>
        </w:rPr>
        <w:t xml:space="preserve"> </w:t>
      </w:r>
      <w:r w:rsidR="004D1DD0">
        <w:rPr>
          <w:szCs w:val="24"/>
        </w:rPr>
        <w:t>19.07.2019</w:t>
      </w:r>
      <w:r w:rsidRPr="00C33D69">
        <w:rPr>
          <w:szCs w:val="24"/>
        </w:rPr>
        <w:t xml:space="preserve"> №</w:t>
      </w:r>
      <w:r>
        <w:rPr>
          <w:szCs w:val="24"/>
        </w:rPr>
        <w:t xml:space="preserve"> </w:t>
      </w:r>
      <w:r w:rsidR="004D1DD0">
        <w:rPr>
          <w:szCs w:val="24"/>
        </w:rPr>
        <w:t>1453</w:t>
      </w:r>
    </w:p>
    <w:p w:rsidR="00BC0D16" w:rsidRDefault="00BC0D16" w:rsidP="005420A2">
      <w:pPr>
        <w:ind w:left="5812"/>
      </w:pPr>
    </w:p>
    <w:p w:rsidR="005420A2" w:rsidRPr="00BC0D16" w:rsidRDefault="005420A2" w:rsidP="005420A2">
      <w:pPr>
        <w:ind w:left="5812"/>
      </w:pPr>
    </w:p>
    <w:p w:rsidR="005420A2" w:rsidRDefault="00BC0D16" w:rsidP="005420A2">
      <w:pPr>
        <w:jc w:val="center"/>
        <w:rPr>
          <w:b/>
        </w:rPr>
      </w:pPr>
      <w:r w:rsidRPr="005420A2">
        <w:rPr>
          <w:b/>
        </w:rPr>
        <w:t xml:space="preserve">Прогноз социально-экономического развития </w:t>
      </w:r>
    </w:p>
    <w:p w:rsidR="00BC0D16" w:rsidRPr="005420A2" w:rsidRDefault="00BC0D16" w:rsidP="005420A2">
      <w:pPr>
        <w:jc w:val="center"/>
        <w:rPr>
          <w:b/>
        </w:rPr>
      </w:pPr>
      <w:r w:rsidRPr="005420A2">
        <w:rPr>
          <w:b/>
        </w:rPr>
        <w:t>Нижневартовского района на период до 2025 года</w:t>
      </w:r>
    </w:p>
    <w:p w:rsidR="00BC0D16" w:rsidRPr="00BC0D16" w:rsidRDefault="00BC0D16" w:rsidP="00BC0D16"/>
    <w:p w:rsidR="00BC0D16" w:rsidRPr="00BC0D16" w:rsidRDefault="00BC0D16" w:rsidP="005420A2">
      <w:pPr>
        <w:ind w:firstLine="709"/>
        <w:jc w:val="both"/>
      </w:pPr>
      <w:r w:rsidRPr="00BC0D16">
        <w:t xml:space="preserve">В соответствии с </w:t>
      </w:r>
      <w:r w:rsidRPr="00BC0D16">
        <w:rPr>
          <w:rFonts w:eastAsia="Calibri"/>
          <w:lang w:eastAsia="en-US"/>
        </w:rPr>
        <w:t>Порядком разработки, корректировки, осуществления мониторинга и контроля реализации прогноза социально-экономического развития Нижневартовского района на долгосрочный период</w:t>
      </w:r>
      <w:r w:rsidRPr="00BC0D16">
        <w:t xml:space="preserve"> разработан прогноз социально-экономического развития Нижневартовского района на период </w:t>
      </w:r>
      <w:r w:rsidR="00C53EB1">
        <w:t xml:space="preserve">                 </w:t>
      </w:r>
      <w:r w:rsidRPr="00BC0D16">
        <w:t>до 2025 года.</w:t>
      </w:r>
    </w:p>
    <w:p w:rsidR="00BC0D16" w:rsidRPr="00BC0D16" w:rsidRDefault="00BC0D16" w:rsidP="005420A2">
      <w:pPr>
        <w:ind w:firstLine="709"/>
        <w:jc w:val="both"/>
      </w:pPr>
      <w:r w:rsidRPr="00BC0D16">
        <w:t xml:space="preserve">В качестве исходной базы для разработки основных параметров </w:t>
      </w:r>
      <w:r w:rsidR="00C53EB1">
        <w:t xml:space="preserve">                               </w:t>
      </w:r>
      <w:r w:rsidRPr="00BC0D16">
        <w:t>на очередной финансовый год и плановый период были взяты:</w:t>
      </w:r>
    </w:p>
    <w:p w:rsidR="00BC0D16" w:rsidRPr="00BC0D16" w:rsidRDefault="00BC0D16" w:rsidP="005420A2">
      <w:pPr>
        <w:ind w:firstLine="709"/>
        <w:jc w:val="both"/>
      </w:pPr>
      <w:r w:rsidRPr="00BC0D16">
        <w:t xml:space="preserve">Указ Президента от </w:t>
      </w:r>
      <w:r w:rsidR="00C53EB1">
        <w:t>0</w:t>
      </w:r>
      <w:r w:rsidRPr="00BC0D16">
        <w:t>7</w:t>
      </w:r>
      <w:r w:rsidR="00C53EB1">
        <w:t>.05.</w:t>
      </w:r>
      <w:r w:rsidRPr="00BC0D16">
        <w:t>2018 №</w:t>
      </w:r>
      <w:r w:rsidR="00C53EB1">
        <w:t xml:space="preserve"> </w:t>
      </w:r>
      <w:r w:rsidRPr="00BC0D16">
        <w:t xml:space="preserve">204 «О национальных целях </w:t>
      </w:r>
      <w:r w:rsidR="00C53EB1">
        <w:t xml:space="preserve">                                  </w:t>
      </w:r>
      <w:r w:rsidRPr="00BC0D16">
        <w:t>и стратегических задачах Российской Федерации на период до 2024 года»;</w:t>
      </w:r>
    </w:p>
    <w:p w:rsidR="00BC0D16" w:rsidRPr="00BC0D16" w:rsidRDefault="00BC0D16" w:rsidP="005420A2">
      <w:pPr>
        <w:ind w:firstLine="709"/>
        <w:jc w:val="both"/>
      </w:pPr>
      <w:r w:rsidRPr="00BC0D16">
        <w:t xml:space="preserve">прогноз социально-экономического развития Российской Федерации </w:t>
      </w:r>
      <w:r w:rsidR="00C53EB1">
        <w:t xml:space="preserve">                </w:t>
      </w:r>
      <w:r w:rsidRPr="00BC0D16">
        <w:t>на период до 2036 года; прогноз социально-экономического развития Ханты-Мансийского автономного округа – Югры на период до 2036 года;</w:t>
      </w:r>
    </w:p>
    <w:p w:rsidR="00BC0D16" w:rsidRPr="00BC0D16" w:rsidRDefault="00BC0D16" w:rsidP="005420A2">
      <w:pPr>
        <w:ind w:firstLine="709"/>
        <w:jc w:val="both"/>
      </w:pPr>
      <w:r w:rsidRPr="00BC0D16">
        <w:t xml:space="preserve">итоги социально-экономического развития Нижневартовского района </w:t>
      </w:r>
      <w:r w:rsidR="00C53EB1">
        <w:t xml:space="preserve">                 </w:t>
      </w:r>
      <w:r w:rsidRPr="00BC0D16">
        <w:t>за 2018 год и отчетный период 2019 года;</w:t>
      </w:r>
    </w:p>
    <w:p w:rsidR="00BC0D16" w:rsidRPr="00BC0D16" w:rsidRDefault="00BC0D16" w:rsidP="005420A2">
      <w:pPr>
        <w:ind w:firstLine="709"/>
        <w:jc w:val="both"/>
      </w:pPr>
      <w:r w:rsidRPr="00BC0D16">
        <w:t>обобщенные данные структурных подразделений администрации района, хозяйствующих субъектов района, государственных органов исполнительной власти.</w:t>
      </w:r>
    </w:p>
    <w:p w:rsidR="00BC0D16" w:rsidRPr="00BC0D16" w:rsidRDefault="00BC0D16" w:rsidP="005420A2">
      <w:pPr>
        <w:ind w:firstLine="709"/>
        <w:jc w:val="both"/>
      </w:pPr>
      <w:proofErr w:type="gramStart"/>
      <w:r w:rsidRPr="00BC0D16">
        <w:t xml:space="preserve">Основные направления деятельности администрации района </w:t>
      </w:r>
      <w:r w:rsidR="00C53EB1">
        <w:t xml:space="preserve">                                 </w:t>
      </w:r>
      <w:r w:rsidRPr="00BC0D16">
        <w:t xml:space="preserve">на долгосрочную перспективу определены на основе приоритетов, сформулированных в Указе Президента Российской Федерации от </w:t>
      </w:r>
      <w:r w:rsidR="00C53EB1">
        <w:t>0</w:t>
      </w:r>
      <w:r w:rsidRPr="00BC0D16">
        <w:t>7</w:t>
      </w:r>
      <w:r w:rsidR="00C53EB1">
        <w:t>.05.</w:t>
      </w:r>
      <w:r w:rsidRPr="00BC0D16">
        <w:t xml:space="preserve">2018 </w:t>
      </w:r>
      <w:r w:rsidR="00C53EB1">
        <w:t xml:space="preserve">          </w:t>
      </w:r>
      <w:r w:rsidRPr="00BC0D16">
        <w:t>№</w:t>
      </w:r>
      <w:r w:rsidR="00C53EB1">
        <w:t xml:space="preserve"> </w:t>
      </w:r>
      <w:r w:rsidRPr="00BC0D16">
        <w:t>204 «О национальных целях и стратегических задачах развития Российской Федерации на период до 2024 года, Стратегии социально-экономического развития Нижневартовского района до 2020 года и на период до 2030 года (далее – Стратегия – 2030).</w:t>
      </w:r>
      <w:proofErr w:type="gramEnd"/>
    </w:p>
    <w:p w:rsidR="00BC0D16" w:rsidRPr="00BC0D16" w:rsidRDefault="00BC0D16" w:rsidP="005420A2">
      <w:pPr>
        <w:ind w:firstLine="709"/>
        <w:jc w:val="both"/>
      </w:pPr>
      <w:r w:rsidRPr="00BC0D16">
        <w:t>Прогноз социально-экономического развития Нижневартовского района на период до 2025 года разработан в двух вариантах</w:t>
      </w:r>
      <w:r w:rsidR="00C53EB1">
        <w:t xml:space="preserve">: </w:t>
      </w:r>
      <w:r w:rsidRPr="00BC0D16">
        <w:t xml:space="preserve">базовый и целевой. </w:t>
      </w:r>
    </w:p>
    <w:p w:rsidR="00BC0D16" w:rsidRPr="00BC0D16" w:rsidRDefault="00BC0D16" w:rsidP="005420A2">
      <w:pPr>
        <w:ind w:firstLine="709"/>
        <w:jc w:val="both"/>
      </w:pPr>
      <w:r w:rsidRPr="00BC0D16">
        <w:t>Целевой вариант предполагает выход экономики на траекторию устойчивого роста, стабилизацию инфляции при одновременном обеспечении макроэкономической сбалансированности.</w:t>
      </w:r>
    </w:p>
    <w:p w:rsidR="00BC0D16" w:rsidRPr="00BC0D16" w:rsidRDefault="00BC0D16" w:rsidP="005420A2">
      <w:pPr>
        <w:ind w:firstLine="709"/>
        <w:jc w:val="both"/>
      </w:pPr>
      <w:r w:rsidRPr="00BC0D16">
        <w:t>Базовый вариант характеризует развитие экономики в условиях сохранения консервативных тенденций в мировой экономике.</w:t>
      </w:r>
    </w:p>
    <w:p w:rsidR="00BC0D16" w:rsidRPr="00BC0D16" w:rsidRDefault="00BC0D16" w:rsidP="005420A2">
      <w:pPr>
        <w:ind w:firstLine="709"/>
        <w:jc w:val="both"/>
      </w:pPr>
      <w:r w:rsidRPr="00BC0D16">
        <w:t xml:space="preserve">Для долгосрочного бюджетного планирования предлагается базовый вариант. </w:t>
      </w:r>
    </w:p>
    <w:p w:rsidR="00BC0D16" w:rsidRPr="00BC0D16" w:rsidRDefault="00BC0D16" w:rsidP="005420A2">
      <w:pPr>
        <w:ind w:firstLine="709"/>
        <w:jc w:val="both"/>
      </w:pPr>
      <w:r w:rsidRPr="00BC0D16">
        <w:t xml:space="preserve">Оценка достигнутого уровня социально-экономического развития Нижневартовского района характеризуется показателями, включенными </w:t>
      </w:r>
      <w:r w:rsidR="00C53EB1">
        <w:t xml:space="preserve">                       </w:t>
      </w:r>
      <w:r w:rsidRPr="00BC0D16">
        <w:t>в таблицу.</w:t>
      </w:r>
    </w:p>
    <w:p w:rsidR="00BC0D16" w:rsidRPr="00BC0D16" w:rsidRDefault="00BC0D16" w:rsidP="005420A2">
      <w:pPr>
        <w:ind w:firstLine="709"/>
        <w:jc w:val="both"/>
      </w:pPr>
    </w:p>
    <w:p w:rsidR="00BC0D16" w:rsidRPr="00C53EB1" w:rsidRDefault="00BC0D16" w:rsidP="00C3344F">
      <w:pPr>
        <w:jc w:val="center"/>
        <w:rPr>
          <w:b/>
        </w:rPr>
      </w:pPr>
      <w:r w:rsidRPr="00C53EB1">
        <w:rPr>
          <w:b/>
        </w:rPr>
        <w:lastRenderedPageBreak/>
        <w:t>Динамика показателей социально-экономического развития</w:t>
      </w:r>
    </w:p>
    <w:p w:rsidR="00BC0D16" w:rsidRPr="00C53EB1" w:rsidRDefault="00BC0D16" w:rsidP="00C3344F">
      <w:pPr>
        <w:jc w:val="center"/>
        <w:rPr>
          <w:b/>
        </w:rPr>
      </w:pPr>
      <w:r w:rsidRPr="00C53EB1">
        <w:rPr>
          <w:b/>
        </w:rPr>
        <w:t>Нижневартовского района</w:t>
      </w:r>
    </w:p>
    <w:p w:rsidR="005420A2" w:rsidRPr="00BC0D16" w:rsidRDefault="005420A2" w:rsidP="005420A2">
      <w:pPr>
        <w:ind w:firstLine="709"/>
        <w:jc w:val="both"/>
      </w:pPr>
    </w:p>
    <w:tbl>
      <w:tblPr>
        <w:tblStyle w:val="ab"/>
        <w:tblW w:w="10314" w:type="dxa"/>
        <w:tblInd w:w="-601" w:type="dxa"/>
        <w:tblLook w:val="04A0" w:firstRow="1" w:lastRow="0" w:firstColumn="1" w:lastColumn="0" w:noHBand="0" w:noVBand="1"/>
      </w:tblPr>
      <w:tblGrid>
        <w:gridCol w:w="6345"/>
        <w:gridCol w:w="1985"/>
        <w:gridCol w:w="1984"/>
      </w:tblGrid>
      <w:tr w:rsidR="00BC0D16" w:rsidRPr="00C53EB1" w:rsidTr="00BD670B">
        <w:tc>
          <w:tcPr>
            <w:tcW w:w="6345" w:type="dxa"/>
          </w:tcPr>
          <w:p w:rsidR="00BC0D16" w:rsidRPr="00C53EB1" w:rsidRDefault="00BC0D16" w:rsidP="00BC0D16">
            <w:pPr>
              <w:rPr>
                <w:sz w:val="24"/>
                <w:szCs w:val="24"/>
              </w:rPr>
            </w:pPr>
            <w:r w:rsidRPr="00C53EB1">
              <w:rPr>
                <w:sz w:val="24"/>
                <w:szCs w:val="24"/>
              </w:rPr>
              <w:t>Наименование показателей</w:t>
            </w:r>
          </w:p>
        </w:tc>
        <w:tc>
          <w:tcPr>
            <w:tcW w:w="1985" w:type="dxa"/>
          </w:tcPr>
          <w:p w:rsidR="00BC0D16" w:rsidRPr="00C53EB1" w:rsidRDefault="00BC0D16" w:rsidP="00BC0D16">
            <w:pPr>
              <w:rPr>
                <w:sz w:val="24"/>
                <w:szCs w:val="24"/>
              </w:rPr>
            </w:pPr>
            <w:r w:rsidRPr="00C53EB1">
              <w:rPr>
                <w:sz w:val="24"/>
                <w:szCs w:val="24"/>
              </w:rPr>
              <w:t>2018</w:t>
            </w:r>
          </w:p>
        </w:tc>
        <w:tc>
          <w:tcPr>
            <w:tcW w:w="1984" w:type="dxa"/>
          </w:tcPr>
          <w:p w:rsidR="00BC0D16" w:rsidRPr="00C53EB1" w:rsidRDefault="00BC0D16" w:rsidP="00BC0D16">
            <w:pPr>
              <w:rPr>
                <w:sz w:val="24"/>
                <w:szCs w:val="24"/>
              </w:rPr>
            </w:pPr>
            <w:r w:rsidRPr="00C53EB1">
              <w:rPr>
                <w:sz w:val="24"/>
                <w:szCs w:val="24"/>
              </w:rPr>
              <w:t>2019 оценка</w:t>
            </w:r>
          </w:p>
        </w:tc>
      </w:tr>
      <w:tr w:rsidR="00BC0D16" w:rsidRPr="00C53EB1" w:rsidTr="00BD670B">
        <w:tc>
          <w:tcPr>
            <w:tcW w:w="6345" w:type="dxa"/>
          </w:tcPr>
          <w:p w:rsidR="00BC0D16" w:rsidRPr="00C53EB1" w:rsidRDefault="00BC0D16" w:rsidP="00BC0D16">
            <w:pPr>
              <w:rPr>
                <w:sz w:val="24"/>
                <w:szCs w:val="24"/>
              </w:rPr>
            </w:pPr>
            <w:r w:rsidRPr="00C53EB1">
              <w:rPr>
                <w:sz w:val="24"/>
                <w:szCs w:val="24"/>
              </w:rPr>
              <w:t>Численность населения на конец года, тыс.</w:t>
            </w:r>
            <w:r w:rsidR="00C53EB1">
              <w:rPr>
                <w:sz w:val="24"/>
                <w:szCs w:val="24"/>
              </w:rPr>
              <w:t xml:space="preserve"> </w:t>
            </w:r>
            <w:r w:rsidRPr="00C53EB1">
              <w:rPr>
                <w:sz w:val="24"/>
                <w:szCs w:val="24"/>
              </w:rPr>
              <w:t>человек</w:t>
            </w:r>
          </w:p>
        </w:tc>
        <w:tc>
          <w:tcPr>
            <w:tcW w:w="1985" w:type="dxa"/>
          </w:tcPr>
          <w:p w:rsidR="00BC0D16" w:rsidRPr="00C53EB1" w:rsidRDefault="00BC0D16" w:rsidP="00BC0D16">
            <w:pPr>
              <w:rPr>
                <w:sz w:val="24"/>
                <w:szCs w:val="24"/>
              </w:rPr>
            </w:pPr>
            <w:r w:rsidRPr="00C53EB1">
              <w:rPr>
                <w:sz w:val="24"/>
                <w:szCs w:val="24"/>
              </w:rPr>
              <w:t>35,993</w:t>
            </w:r>
          </w:p>
        </w:tc>
        <w:tc>
          <w:tcPr>
            <w:tcW w:w="1984" w:type="dxa"/>
          </w:tcPr>
          <w:p w:rsidR="00BC0D16" w:rsidRPr="00C53EB1" w:rsidRDefault="00BC0D16" w:rsidP="00BC0D16">
            <w:pPr>
              <w:rPr>
                <w:sz w:val="24"/>
                <w:szCs w:val="24"/>
              </w:rPr>
            </w:pPr>
            <w:r w:rsidRPr="00C53EB1">
              <w:rPr>
                <w:sz w:val="24"/>
                <w:szCs w:val="24"/>
              </w:rPr>
              <w:t>35,998</w:t>
            </w:r>
          </w:p>
        </w:tc>
      </w:tr>
      <w:tr w:rsidR="00BC0D16" w:rsidRPr="00C53EB1" w:rsidTr="00BD670B">
        <w:tc>
          <w:tcPr>
            <w:tcW w:w="6345" w:type="dxa"/>
          </w:tcPr>
          <w:p w:rsidR="00BC0D16" w:rsidRPr="00C53EB1" w:rsidRDefault="00BC0D16" w:rsidP="00BC0D16">
            <w:pPr>
              <w:rPr>
                <w:sz w:val="24"/>
                <w:szCs w:val="24"/>
              </w:rPr>
            </w:pPr>
            <w:r w:rsidRPr="00C53EB1">
              <w:rPr>
                <w:sz w:val="24"/>
                <w:szCs w:val="24"/>
              </w:rPr>
              <w:t>Объем отгруженных товаров собственного производства по видам экономической деятельности: добыча полезных ископаемых, обрабатывающие производства, производство и распределение электроэнергии, газа и воды, млрд. рублей</w:t>
            </w:r>
          </w:p>
        </w:tc>
        <w:tc>
          <w:tcPr>
            <w:tcW w:w="1985" w:type="dxa"/>
            <w:vAlign w:val="center"/>
          </w:tcPr>
          <w:p w:rsidR="00BC0D16" w:rsidRPr="00C53EB1" w:rsidRDefault="00BC0D16" w:rsidP="00BC0D16">
            <w:pPr>
              <w:rPr>
                <w:sz w:val="24"/>
                <w:szCs w:val="24"/>
              </w:rPr>
            </w:pPr>
            <w:r w:rsidRPr="00C53EB1">
              <w:rPr>
                <w:sz w:val="24"/>
                <w:szCs w:val="24"/>
              </w:rPr>
              <w:t>1 047, 26</w:t>
            </w:r>
          </w:p>
        </w:tc>
        <w:tc>
          <w:tcPr>
            <w:tcW w:w="1984" w:type="dxa"/>
            <w:vAlign w:val="center"/>
          </w:tcPr>
          <w:p w:rsidR="00BC0D16" w:rsidRPr="00C53EB1" w:rsidRDefault="00BC0D16" w:rsidP="00BC0D16">
            <w:pPr>
              <w:rPr>
                <w:sz w:val="24"/>
                <w:szCs w:val="24"/>
              </w:rPr>
            </w:pPr>
            <w:r w:rsidRPr="00C53EB1">
              <w:rPr>
                <w:sz w:val="24"/>
                <w:szCs w:val="24"/>
              </w:rPr>
              <w:t>1098, 99</w:t>
            </w:r>
          </w:p>
        </w:tc>
      </w:tr>
      <w:tr w:rsidR="00BC0D16" w:rsidRPr="00C53EB1" w:rsidTr="00BD670B">
        <w:tc>
          <w:tcPr>
            <w:tcW w:w="6345" w:type="dxa"/>
          </w:tcPr>
          <w:p w:rsidR="00BC0D16" w:rsidRPr="00C53EB1" w:rsidRDefault="00BC0D16" w:rsidP="00BC0D16">
            <w:pPr>
              <w:rPr>
                <w:sz w:val="24"/>
                <w:szCs w:val="24"/>
              </w:rPr>
            </w:pPr>
            <w:r w:rsidRPr="00C53EB1">
              <w:rPr>
                <w:sz w:val="24"/>
                <w:szCs w:val="24"/>
              </w:rPr>
              <w:t>Индекс промышленного производства, в процентах</w:t>
            </w:r>
          </w:p>
        </w:tc>
        <w:tc>
          <w:tcPr>
            <w:tcW w:w="1985" w:type="dxa"/>
            <w:vAlign w:val="center"/>
          </w:tcPr>
          <w:p w:rsidR="00BC0D16" w:rsidRPr="00C53EB1" w:rsidRDefault="00BC0D16" w:rsidP="00BC0D16">
            <w:pPr>
              <w:rPr>
                <w:sz w:val="24"/>
                <w:szCs w:val="24"/>
              </w:rPr>
            </w:pPr>
            <w:r w:rsidRPr="00C53EB1">
              <w:rPr>
                <w:sz w:val="24"/>
                <w:szCs w:val="24"/>
              </w:rPr>
              <w:t>100</w:t>
            </w:r>
          </w:p>
        </w:tc>
        <w:tc>
          <w:tcPr>
            <w:tcW w:w="1984" w:type="dxa"/>
            <w:vAlign w:val="center"/>
          </w:tcPr>
          <w:p w:rsidR="00BC0D16" w:rsidRPr="00C53EB1" w:rsidRDefault="00BC0D16" w:rsidP="00BC0D16">
            <w:pPr>
              <w:rPr>
                <w:sz w:val="24"/>
                <w:szCs w:val="24"/>
              </w:rPr>
            </w:pPr>
            <w:r w:rsidRPr="00C53EB1">
              <w:rPr>
                <w:sz w:val="24"/>
                <w:szCs w:val="24"/>
              </w:rPr>
              <w:t>100</w:t>
            </w:r>
          </w:p>
        </w:tc>
      </w:tr>
      <w:tr w:rsidR="00BC0D16" w:rsidRPr="00C53EB1" w:rsidTr="00BD670B">
        <w:tc>
          <w:tcPr>
            <w:tcW w:w="6345" w:type="dxa"/>
          </w:tcPr>
          <w:p w:rsidR="00BC0D16" w:rsidRPr="00C53EB1" w:rsidRDefault="00BC0D16" w:rsidP="00BC0D16">
            <w:pPr>
              <w:rPr>
                <w:sz w:val="24"/>
                <w:szCs w:val="24"/>
              </w:rPr>
            </w:pPr>
            <w:r w:rsidRPr="00C53EB1">
              <w:rPr>
                <w:sz w:val="24"/>
                <w:szCs w:val="24"/>
              </w:rPr>
              <w:t xml:space="preserve">Инвестиции в основной капитал, млрд. </w:t>
            </w:r>
          </w:p>
          <w:p w:rsidR="00BC0D16" w:rsidRPr="00C53EB1" w:rsidRDefault="00BC0D16" w:rsidP="00BC0D16">
            <w:pPr>
              <w:rPr>
                <w:sz w:val="24"/>
                <w:szCs w:val="24"/>
              </w:rPr>
            </w:pPr>
            <w:r w:rsidRPr="00C53EB1">
              <w:rPr>
                <w:sz w:val="24"/>
                <w:szCs w:val="24"/>
              </w:rPr>
              <w:t>рублей</w:t>
            </w:r>
          </w:p>
        </w:tc>
        <w:tc>
          <w:tcPr>
            <w:tcW w:w="1985" w:type="dxa"/>
            <w:vAlign w:val="center"/>
          </w:tcPr>
          <w:p w:rsidR="00BC0D16" w:rsidRPr="00C53EB1" w:rsidRDefault="00BC0D16" w:rsidP="00BC0D16">
            <w:pPr>
              <w:rPr>
                <w:sz w:val="24"/>
                <w:szCs w:val="24"/>
              </w:rPr>
            </w:pPr>
            <w:r w:rsidRPr="00C53EB1">
              <w:rPr>
                <w:sz w:val="24"/>
                <w:szCs w:val="24"/>
              </w:rPr>
              <w:t>126, 789</w:t>
            </w:r>
          </w:p>
        </w:tc>
        <w:tc>
          <w:tcPr>
            <w:tcW w:w="1984" w:type="dxa"/>
            <w:vAlign w:val="center"/>
          </w:tcPr>
          <w:p w:rsidR="00BC0D16" w:rsidRPr="00C53EB1" w:rsidRDefault="00BC0D16" w:rsidP="00BC0D16">
            <w:pPr>
              <w:rPr>
                <w:sz w:val="24"/>
                <w:szCs w:val="24"/>
              </w:rPr>
            </w:pPr>
            <w:r w:rsidRPr="00C53EB1">
              <w:rPr>
                <w:sz w:val="24"/>
                <w:szCs w:val="24"/>
              </w:rPr>
              <w:t>129,173</w:t>
            </w:r>
          </w:p>
        </w:tc>
      </w:tr>
      <w:tr w:rsidR="00BC0D16" w:rsidRPr="00C53EB1" w:rsidTr="00BD670B">
        <w:tc>
          <w:tcPr>
            <w:tcW w:w="6345" w:type="dxa"/>
          </w:tcPr>
          <w:p w:rsidR="00BC0D16" w:rsidRPr="00C53EB1" w:rsidRDefault="00BC0D16" w:rsidP="00BC0D16">
            <w:pPr>
              <w:rPr>
                <w:sz w:val="24"/>
                <w:szCs w:val="24"/>
              </w:rPr>
            </w:pPr>
            <w:r w:rsidRPr="00C53EB1">
              <w:rPr>
                <w:sz w:val="24"/>
                <w:szCs w:val="24"/>
              </w:rPr>
              <w:t>Темп роста объема инвестиций в основной капитал, в процентах</w:t>
            </w:r>
          </w:p>
        </w:tc>
        <w:tc>
          <w:tcPr>
            <w:tcW w:w="1985" w:type="dxa"/>
            <w:vAlign w:val="center"/>
          </w:tcPr>
          <w:p w:rsidR="00BC0D16" w:rsidRPr="00C53EB1" w:rsidRDefault="00BC0D16" w:rsidP="00BC0D16">
            <w:pPr>
              <w:rPr>
                <w:sz w:val="24"/>
                <w:szCs w:val="24"/>
              </w:rPr>
            </w:pPr>
            <w:r w:rsidRPr="00C53EB1">
              <w:rPr>
                <w:sz w:val="24"/>
                <w:szCs w:val="24"/>
              </w:rPr>
              <w:t>94,25</w:t>
            </w:r>
          </w:p>
        </w:tc>
        <w:tc>
          <w:tcPr>
            <w:tcW w:w="1984" w:type="dxa"/>
            <w:vAlign w:val="center"/>
          </w:tcPr>
          <w:p w:rsidR="00BC0D16" w:rsidRPr="00C53EB1" w:rsidRDefault="00BC0D16" w:rsidP="00BC0D16">
            <w:pPr>
              <w:rPr>
                <w:sz w:val="24"/>
                <w:szCs w:val="24"/>
              </w:rPr>
            </w:pPr>
            <w:r w:rsidRPr="00C53EB1">
              <w:rPr>
                <w:sz w:val="24"/>
                <w:szCs w:val="24"/>
              </w:rPr>
              <w:t>101,88</w:t>
            </w:r>
          </w:p>
        </w:tc>
      </w:tr>
      <w:tr w:rsidR="00BC0D16" w:rsidRPr="00C53EB1" w:rsidTr="00BD670B">
        <w:tc>
          <w:tcPr>
            <w:tcW w:w="6345" w:type="dxa"/>
          </w:tcPr>
          <w:p w:rsidR="00BC0D16" w:rsidRPr="00C53EB1" w:rsidRDefault="00BC0D16" w:rsidP="00BC0D16">
            <w:pPr>
              <w:rPr>
                <w:sz w:val="24"/>
                <w:szCs w:val="24"/>
              </w:rPr>
            </w:pPr>
            <w:r w:rsidRPr="00C53EB1">
              <w:rPr>
                <w:sz w:val="24"/>
                <w:szCs w:val="24"/>
              </w:rPr>
              <w:t>Индекс потребительских цен на конец периода (декабрь к декабрю), в процентах</w:t>
            </w:r>
          </w:p>
        </w:tc>
        <w:tc>
          <w:tcPr>
            <w:tcW w:w="1985" w:type="dxa"/>
          </w:tcPr>
          <w:p w:rsidR="00BC0D16" w:rsidRPr="00C53EB1" w:rsidRDefault="00BC0D16" w:rsidP="00BC0D16">
            <w:pPr>
              <w:rPr>
                <w:sz w:val="24"/>
                <w:szCs w:val="24"/>
              </w:rPr>
            </w:pPr>
            <w:r w:rsidRPr="00C53EB1">
              <w:rPr>
                <w:sz w:val="24"/>
                <w:szCs w:val="24"/>
              </w:rPr>
              <w:t>102,0</w:t>
            </w:r>
          </w:p>
        </w:tc>
        <w:tc>
          <w:tcPr>
            <w:tcW w:w="1984" w:type="dxa"/>
          </w:tcPr>
          <w:p w:rsidR="00BC0D16" w:rsidRPr="00C53EB1" w:rsidRDefault="00BC0D16" w:rsidP="00BC0D16">
            <w:pPr>
              <w:rPr>
                <w:sz w:val="24"/>
                <w:szCs w:val="24"/>
              </w:rPr>
            </w:pPr>
            <w:r w:rsidRPr="00C53EB1">
              <w:rPr>
                <w:sz w:val="24"/>
                <w:szCs w:val="24"/>
              </w:rPr>
              <w:t>104,3</w:t>
            </w:r>
          </w:p>
        </w:tc>
      </w:tr>
      <w:tr w:rsidR="00BC0D16" w:rsidRPr="00C53EB1" w:rsidTr="00BD670B">
        <w:tc>
          <w:tcPr>
            <w:tcW w:w="6345" w:type="dxa"/>
          </w:tcPr>
          <w:p w:rsidR="00BC0D16" w:rsidRPr="00C53EB1" w:rsidRDefault="00BC0D16" w:rsidP="00BC0D16">
            <w:pPr>
              <w:rPr>
                <w:sz w:val="24"/>
                <w:szCs w:val="24"/>
              </w:rPr>
            </w:pPr>
            <w:r w:rsidRPr="00C53EB1">
              <w:rPr>
                <w:sz w:val="24"/>
                <w:szCs w:val="24"/>
              </w:rPr>
              <w:t>Среднедушевые денежные доходы населения в месяц, рублей</w:t>
            </w:r>
          </w:p>
        </w:tc>
        <w:tc>
          <w:tcPr>
            <w:tcW w:w="1985" w:type="dxa"/>
          </w:tcPr>
          <w:p w:rsidR="00BC0D16" w:rsidRPr="00C53EB1" w:rsidRDefault="00BC0D16" w:rsidP="00BC0D16">
            <w:pPr>
              <w:rPr>
                <w:sz w:val="24"/>
                <w:szCs w:val="24"/>
              </w:rPr>
            </w:pPr>
            <w:r w:rsidRPr="00C53EB1">
              <w:rPr>
                <w:sz w:val="24"/>
                <w:szCs w:val="24"/>
              </w:rPr>
              <w:t>38100,0</w:t>
            </w:r>
          </w:p>
        </w:tc>
        <w:tc>
          <w:tcPr>
            <w:tcW w:w="1984" w:type="dxa"/>
          </w:tcPr>
          <w:p w:rsidR="00BC0D16" w:rsidRPr="00C53EB1" w:rsidRDefault="00BC0D16" w:rsidP="00BC0D16">
            <w:pPr>
              <w:rPr>
                <w:sz w:val="24"/>
                <w:szCs w:val="24"/>
              </w:rPr>
            </w:pPr>
            <w:r w:rsidRPr="00C53EB1">
              <w:rPr>
                <w:sz w:val="24"/>
                <w:szCs w:val="24"/>
              </w:rPr>
              <w:t>38600,0</w:t>
            </w:r>
          </w:p>
        </w:tc>
      </w:tr>
      <w:tr w:rsidR="00BC0D16" w:rsidRPr="00C53EB1" w:rsidTr="00BD670B">
        <w:tc>
          <w:tcPr>
            <w:tcW w:w="6345" w:type="dxa"/>
          </w:tcPr>
          <w:p w:rsidR="00BC0D16" w:rsidRPr="00C53EB1" w:rsidRDefault="00BC0D16" w:rsidP="00BC0D16">
            <w:pPr>
              <w:rPr>
                <w:sz w:val="24"/>
                <w:szCs w:val="24"/>
              </w:rPr>
            </w:pPr>
            <w:r w:rsidRPr="00C53EB1">
              <w:rPr>
                <w:sz w:val="24"/>
                <w:szCs w:val="24"/>
              </w:rPr>
              <w:t>Реальные располагаемые денежные доходы населения, в процентах</w:t>
            </w:r>
          </w:p>
        </w:tc>
        <w:tc>
          <w:tcPr>
            <w:tcW w:w="1985" w:type="dxa"/>
          </w:tcPr>
          <w:p w:rsidR="00BC0D16" w:rsidRPr="00C53EB1" w:rsidRDefault="00BC0D16" w:rsidP="00BC0D16">
            <w:pPr>
              <w:rPr>
                <w:sz w:val="24"/>
                <w:szCs w:val="24"/>
              </w:rPr>
            </w:pPr>
            <w:r w:rsidRPr="00C53EB1">
              <w:rPr>
                <w:sz w:val="24"/>
                <w:szCs w:val="24"/>
              </w:rPr>
              <w:t>96,11</w:t>
            </w:r>
          </w:p>
        </w:tc>
        <w:tc>
          <w:tcPr>
            <w:tcW w:w="1984" w:type="dxa"/>
          </w:tcPr>
          <w:p w:rsidR="00BC0D16" w:rsidRPr="00C53EB1" w:rsidRDefault="00BC0D16" w:rsidP="00BC0D16">
            <w:pPr>
              <w:rPr>
                <w:sz w:val="24"/>
                <w:szCs w:val="24"/>
              </w:rPr>
            </w:pPr>
            <w:r w:rsidRPr="00C53EB1">
              <w:rPr>
                <w:sz w:val="24"/>
                <w:szCs w:val="24"/>
              </w:rPr>
              <w:t>100,00</w:t>
            </w:r>
          </w:p>
        </w:tc>
      </w:tr>
      <w:tr w:rsidR="00BC0D16" w:rsidRPr="00C53EB1" w:rsidTr="00BD670B">
        <w:tc>
          <w:tcPr>
            <w:tcW w:w="6345" w:type="dxa"/>
          </w:tcPr>
          <w:p w:rsidR="00BC0D16" w:rsidRPr="00C53EB1" w:rsidRDefault="00BC0D16" w:rsidP="00BC0D16">
            <w:pPr>
              <w:rPr>
                <w:sz w:val="24"/>
                <w:szCs w:val="24"/>
              </w:rPr>
            </w:pPr>
            <w:r w:rsidRPr="00C53EB1">
              <w:rPr>
                <w:sz w:val="24"/>
                <w:szCs w:val="24"/>
              </w:rPr>
              <w:t>Номинальная начисленная среднемесячная заработная плата одного работника, рублей</w:t>
            </w:r>
          </w:p>
        </w:tc>
        <w:tc>
          <w:tcPr>
            <w:tcW w:w="1985" w:type="dxa"/>
          </w:tcPr>
          <w:p w:rsidR="00BC0D16" w:rsidRPr="00C53EB1" w:rsidRDefault="00BC0D16" w:rsidP="00BC0D16">
            <w:pPr>
              <w:rPr>
                <w:sz w:val="24"/>
                <w:szCs w:val="24"/>
              </w:rPr>
            </w:pPr>
            <w:r w:rsidRPr="00C53EB1">
              <w:rPr>
                <w:sz w:val="24"/>
                <w:szCs w:val="24"/>
              </w:rPr>
              <w:t>58545,0</w:t>
            </w:r>
          </w:p>
        </w:tc>
        <w:tc>
          <w:tcPr>
            <w:tcW w:w="1984" w:type="dxa"/>
          </w:tcPr>
          <w:p w:rsidR="00BC0D16" w:rsidRPr="00C53EB1" w:rsidRDefault="00BC0D16" w:rsidP="00BC0D16">
            <w:pPr>
              <w:rPr>
                <w:sz w:val="24"/>
                <w:szCs w:val="24"/>
              </w:rPr>
            </w:pPr>
            <w:r w:rsidRPr="00C53EB1">
              <w:rPr>
                <w:sz w:val="24"/>
                <w:szCs w:val="24"/>
              </w:rPr>
              <w:t>61297,0</w:t>
            </w:r>
          </w:p>
        </w:tc>
      </w:tr>
      <w:tr w:rsidR="00BC0D16" w:rsidRPr="00C53EB1" w:rsidTr="00BD670B">
        <w:tc>
          <w:tcPr>
            <w:tcW w:w="6345" w:type="dxa"/>
          </w:tcPr>
          <w:p w:rsidR="00BC0D16" w:rsidRPr="00C53EB1" w:rsidRDefault="00BC0D16" w:rsidP="00BC0D16">
            <w:pPr>
              <w:rPr>
                <w:sz w:val="24"/>
                <w:szCs w:val="24"/>
              </w:rPr>
            </w:pPr>
            <w:r w:rsidRPr="00C53EB1">
              <w:rPr>
                <w:sz w:val="24"/>
                <w:szCs w:val="24"/>
              </w:rPr>
              <w:t>Реальная начисленная заработная плата одного работника, в процентах</w:t>
            </w:r>
          </w:p>
        </w:tc>
        <w:tc>
          <w:tcPr>
            <w:tcW w:w="1985" w:type="dxa"/>
          </w:tcPr>
          <w:p w:rsidR="00BC0D16" w:rsidRPr="00C53EB1" w:rsidRDefault="00BC0D16" w:rsidP="00BC0D16">
            <w:pPr>
              <w:rPr>
                <w:sz w:val="24"/>
                <w:szCs w:val="24"/>
              </w:rPr>
            </w:pPr>
            <w:r w:rsidRPr="00C53EB1">
              <w:rPr>
                <w:sz w:val="24"/>
                <w:szCs w:val="24"/>
              </w:rPr>
              <w:t>102,88</w:t>
            </w:r>
          </w:p>
        </w:tc>
        <w:tc>
          <w:tcPr>
            <w:tcW w:w="1984" w:type="dxa"/>
          </w:tcPr>
          <w:p w:rsidR="00BC0D16" w:rsidRPr="00C53EB1" w:rsidRDefault="00BC0D16" w:rsidP="00BC0D16">
            <w:pPr>
              <w:rPr>
                <w:sz w:val="24"/>
                <w:szCs w:val="24"/>
              </w:rPr>
            </w:pPr>
            <w:r w:rsidRPr="00C53EB1">
              <w:rPr>
                <w:sz w:val="24"/>
                <w:szCs w:val="24"/>
              </w:rPr>
              <w:t>100,10</w:t>
            </w:r>
          </w:p>
        </w:tc>
      </w:tr>
      <w:tr w:rsidR="00BC0D16" w:rsidRPr="00C53EB1" w:rsidTr="00BD670B">
        <w:tc>
          <w:tcPr>
            <w:tcW w:w="6345" w:type="dxa"/>
          </w:tcPr>
          <w:p w:rsidR="00BC0D16" w:rsidRPr="00C53EB1" w:rsidRDefault="00BC0D16" w:rsidP="00BC0D16">
            <w:pPr>
              <w:rPr>
                <w:sz w:val="24"/>
                <w:szCs w:val="24"/>
              </w:rPr>
            </w:pPr>
            <w:r w:rsidRPr="00C53EB1">
              <w:rPr>
                <w:sz w:val="24"/>
                <w:szCs w:val="24"/>
              </w:rPr>
              <w:t>Уровень зарегистрированной безработицы (на конец года), в процентах</w:t>
            </w:r>
          </w:p>
        </w:tc>
        <w:tc>
          <w:tcPr>
            <w:tcW w:w="1985" w:type="dxa"/>
          </w:tcPr>
          <w:p w:rsidR="00BC0D16" w:rsidRPr="00C53EB1" w:rsidRDefault="00BC0D16" w:rsidP="00BC0D16">
            <w:pPr>
              <w:rPr>
                <w:sz w:val="24"/>
                <w:szCs w:val="24"/>
              </w:rPr>
            </w:pPr>
            <w:r w:rsidRPr="00C53EB1">
              <w:rPr>
                <w:sz w:val="24"/>
                <w:szCs w:val="24"/>
              </w:rPr>
              <w:t>0,12</w:t>
            </w:r>
          </w:p>
        </w:tc>
        <w:tc>
          <w:tcPr>
            <w:tcW w:w="1984" w:type="dxa"/>
          </w:tcPr>
          <w:p w:rsidR="00BC0D16" w:rsidRPr="00C53EB1" w:rsidRDefault="00BC0D16" w:rsidP="00BC0D16">
            <w:pPr>
              <w:rPr>
                <w:sz w:val="24"/>
                <w:szCs w:val="24"/>
              </w:rPr>
            </w:pPr>
            <w:r w:rsidRPr="00C53EB1">
              <w:rPr>
                <w:sz w:val="24"/>
                <w:szCs w:val="24"/>
              </w:rPr>
              <w:t>0,14</w:t>
            </w:r>
          </w:p>
        </w:tc>
      </w:tr>
    </w:tbl>
    <w:p w:rsidR="00BC0D16" w:rsidRPr="00BC0D16" w:rsidRDefault="00BC0D16" w:rsidP="00BC0D16"/>
    <w:p w:rsidR="00BC0D16" w:rsidRPr="00BC0D16" w:rsidRDefault="00BC0D16" w:rsidP="00C53EB1">
      <w:pPr>
        <w:ind w:firstLine="709"/>
        <w:jc w:val="both"/>
      </w:pPr>
      <w:proofErr w:type="gramStart"/>
      <w:r w:rsidRPr="00BC0D16">
        <w:t>Основными положительными</w:t>
      </w:r>
      <w:proofErr w:type="gramEnd"/>
      <w:r w:rsidRPr="00BC0D16">
        <w:t xml:space="preserve"> результатами социально-экономического развития района, выявленны</w:t>
      </w:r>
      <w:r w:rsidR="00C53EB1">
        <w:t>ми</w:t>
      </w:r>
      <w:r w:rsidRPr="00BC0D16">
        <w:t xml:space="preserve"> на основе анализа основных показателей </w:t>
      </w:r>
      <w:r w:rsidR="00C53EB1">
        <w:t xml:space="preserve">                      </w:t>
      </w:r>
      <w:r w:rsidRPr="00BC0D16">
        <w:t>по итогам 2018 года (к уровню 2017 года)</w:t>
      </w:r>
      <w:r w:rsidR="00C53EB1">
        <w:t>,</w:t>
      </w:r>
      <w:r w:rsidRPr="00BC0D16">
        <w:t xml:space="preserve"> стали:</w:t>
      </w:r>
    </w:p>
    <w:p w:rsidR="00BC0D16" w:rsidRPr="00BC0D16" w:rsidRDefault="00BC0D16" w:rsidP="00C53EB1">
      <w:pPr>
        <w:ind w:firstLine="709"/>
        <w:jc w:val="both"/>
      </w:pPr>
      <w:r w:rsidRPr="00BC0D16">
        <w:t>снижение уровня зарегистрированной безработицы до 0,12%;</w:t>
      </w:r>
    </w:p>
    <w:p w:rsidR="00BC0D16" w:rsidRPr="00BC0D16" w:rsidRDefault="00BC0D16" w:rsidP="00C53EB1">
      <w:pPr>
        <w:ind w:firstLine="709"/>
        <w:jc w:val="both"/>
      </w:pPr>
      <w:r w:rsidRPr="00BC0D16">
        <w:t>увеличение среднемесячной заработной платы на 3,9 %</w:t>
      </w:r>
      <w:r w:rsidR="00C53EB1">
        <w:t>;</w:t>
      </w:r>
    </w:p>
    <w:p w:rsidR="00BC0D16" w:rsidRPr="00BC0D16" w:rsidRDefault="00BC0D16" w:rsidP="00C53EB1">
      <w:pPr>
        <w:ind w:firstLine="709"/>
        <w:jc w:val="both"/>
      </w:pPr>
      <w:r w:rsidRPr="00BC0D16">
        <w:t xml:space="preserve">увеличение среднедушевых денежных доходов населения на 1,0%; </w:t>
      </w:r>
    </w:p>
    <w:p w:rsidR="00BC0D16" w:rsidRPr="00BC0D16" w:rsidRDefault="00BC0D16" w:rsidP="00C53EB1">
      <w:pPr>
        <w:ind w:firstLine="709"/>
        <w:jc w:val="both"/>
      </w:pPr>
      <w:r w:rsidRPr="00BC0D16">
        <w:t>превышение рождаемости над смертностью в 1,6 раза</w:t>
      </w:r>
      <w:r w:rsidR="00C53EB1">
        <w:t>;</w:t>
      </w:r>
    </w:p>
    <w:p w:rsidR="00BC0D16" w:rsidRPr="00BC0D16" w:rsidRDefault="00BC0D16" w:rsidP="00C53EB1">
      <w:pPr>
        <w:ind w:firstLine="709"/>
        <w:jc w:val="both"/>
      </w:pPr>
      <w:r w:rsidRPr="00BC0D16">
        <w:t xml:space="preserve">увеличение объема промышленного производства на 33,6%; </w:t>
      </w:r>
    </w:p>
    <w:p w:rsidR="00BC0D16" w:rsidRPr="00BC0D16" w:rsidRDefault="00BC0D16" w:rsidP="00C53EB1">
      <w:pPr>
        <w:ind w:firstLine="709"/>
        <w:jc w:val="both"/>
      </w:pPr>
      <w:r w:rsidRPr="00BC0D16">
        <w:t>увеличение ввода жилья на 61,2%, что составляет 10,35 тыс.</w:t>
      </w:r>
      <w:r w:rsidR="00560D6A">
        <w:t xml:space="preserve"> </w:t>
      </w:r>
      <w:r w:rsidRPr="00BC0D16">
        <w:t>кв.</w:t>
      </w:r>
      <w:r w:rsidR="00560D6A">
        <w:t xml:space="preserve"> </w:t>
      </w:r>
      <w:r w:rsidRPr="00BC0D16">
        <w:t>м.</w:t>
      </w:r>
    </w:p>
    <w:p w:rsidR="00BC0D16" w:rsidRPr="00BC0D16" w:rsidRDefault="00BC0D16" w:rsidP="00BC0D16"/>
    <w:p w:rsidR="00BC0D16" w:rsidRPr="00560D6A" w:rsidRDefault="00BC0D16" w:rsidP="00560D6A">
      <w:pPr>
        <w:jc w:val="center"/>
        <w:rPr>
          <w:b/>
        </w:rPr>
      </w:pPr>
      <w:r w:rsidRPr="00560D6A">
        <w:rPr>
          <w:b/>
        </w:rPr>
        <w:t>1. Промышленное производство</w:t>
      </w:r>
    </w:p>
    <w:p w:rsidR="00BC0D16" w:rsidRPr="00BC0D16" w:rsidRDefault="00BC0D16" w:rsidP="00BC0D16"/>
    <w:p w:rsidR="00BC0D16" w:rsidRPr="00BC0D16" w:rsidRDefault="00BC0D16" w:rsidP="00560D6A">
      <w:pPr>
        <w:ind w:firstLine="709"/>
        <w:jc w:val="both"/>
        <w:rPr>
          <w:lang w:eastAsia="en-US"/>
        </w:rPr>
      </w:pPr>
      <w:r w:rsidRPr="00BC0D16">
        <w:rPr>
          <w:lang w:eastAsia="en-US"/>
        </w:rPr>
        <w:t>В 2018 году промышленность в структуре экономики района занимает 99,0 % от всего объема. Данная структура характерна на 2019 год и долгосрочный период до 2025 года.</w:t>
      </w:r>
    </w:p>
    <w:p w:rsidR="00BC0D16" w:rsidRPr="00BC0D16" w:rsidRDefault="00BC0D16" w:rsidP="00560D6A">
      <w:pPr>
        <w:ind w:firstLine="709"/>
        <w:jc w:val="both"/>
        <w:rPr>
          <w:lang w:eastAsia="en-US"/>
        </w:rPr>
      </w:pPr>
      <w:proofErr w:type="gramStart"/>
      <w:r w:rsidRPr="00BC0D16">
        <w:rPr>
          <w:lang w:eastAsia="en-US"/>
        </w:rPr>
        <w:t xml:space="preserve">В 2018 году отгружено товаров собственного производства, выполнено работ и услуг собственными силами по полному кругу организаций – производителей промышленной продукции на сумму 1 047 261 млн. рублей, индекс промышленного производства составил 100,0%. В 2019 году объем отгруженных товаров собственного производства прогнозируется – 1 098 993,0 млн. рублей, индекс производства – 100,0%. </w:t>
      </w:r>
      <w:proofErr w:type="gramEnd"/>
    </w:p>
    <w:p w:rsidR="00BC0D16" w:rsidRPr="00BC0D16" w:rsidRDefault="00BC0D16" w:rsidP="00560D6A">
      <w:pPr>
        <w:ind w:firstLine="709"/>
        <w:jc w:val="both"/>
        <w:rPr>
          <w:lang w:eastAsia="en-US"/>
        </w:rPr>
      </w:pPr>
      <w:proofErr w:type="gramStart"/>
      <w:r w:rsidRPr="00BC0D16">
        <w:rPr>
          <w:lang w:eastAsia="en-US"/>
        </w:rPr>
        <w:lastRenderedPageBreak/>
        <w:t xml:space="preserve">В структуре промышленности района на организации с видом экономической деятельности «Добыча полезных ископаемых» приходится 96,8%.  Объемы отгрузки по нефтедобывающим предприятиям и предприятиям, оказывающим услуги в данной области, в 2019 оценивается в 1064 656,4 млн. рублей, при этом индекс производства к уровню 2018 года составил 100,0%. </w:t>
      </w:r>
      <w:r w:rsidR="00560D6A">
        <w:rPr>
          <w:lang w:eastAsia="en-US"/>
        </w:rPr>
        <w:t xml:space="preserve">               </w:t>
      </w:r>
      <w:r w:rsidRPr="00BC0D16">
        <w:rPr>
          <w:lang w:eastAsia="en-US"/>
        </w:rPr>
        <w:t>В объеме производства данной отрасли на добычу топливно-энергетических ископаемых (нефти и газа) приходится 99,99%  и</w:t>
      </w:r>
      <w:proofErr w:type="gramEnd"/>
      <w:r w:rsidRPr="00BC0D16">
        <w:rPr>
          <w:lang w:eastAsia="en-US"/>
        </w:rPr>
        <w:t xml:space="preserve"> 0,01% на добычу полезных ископаемых, не </w:t>
      </w:r>
      <w:proofErr w:type="gramStart"/>
      <w:r w:rsidRPr="00BC0D16">
        <w:rPr>
          <w:lang w:eastAsia="en-US"/>
        </w:rPr>
        <w:t>относящимся</w:t>
      </w:r>
      <w:proofErr w:type="gramEnd"/>
      <w:r w:rsidRPr="00BC0D16">
        <w:rPr>
          <w:lang w:eastAsia="en-US"/>
        </w:rPr>
        <w:t xml:space="preserve"> к топливно-энергетическим (пески природные).</w:t>
      </w:r>
    </w:p>
    <w:p w:rsidR="00BC0D16" w:rsidRPr="00BC0D16" w:rsidRDefault="00BC0D16" w:rsidP="00560D6A">
      <w:pPr>
        <w:ind w:firstLine="709"/>
        <w:jc w:val="both"/>
        <w:rPr>
          <w:lang w:eastAsia="en-US"/>
        </w:rPr>
      </w:pPr>
      <w:r w:rsidRPr="00BC0D16">
        <w:rPr>
          <w:lang w:eastAsia="en-US"/>
        </w:rPr>
        <w:t>По виду экономической деятельности «Обеспечение электрической энергией» объем отгрузки составил 20 958,4 млн. рублей. В структуре промышленности доля равна 1,9%, индекс производства отрасли 100,0%.</w:t>
      </w:r>
    </w:p>
    <w:p w:rsidR="00BC0D16" w:rsidRPr="00BC0D16" w:rsidRDefault="00BC0D16" w:rsidP="00560D6A">
      <w:pPr>
        <w:ind w:firstLine="709"/>
        <w:jc w:val="both"/>
        <w:rPr>
          <w:lang w:eastAsia="en-US"/>
        </w:rPr>
      </w:pPr>
      <w:r w:rsidRPr="00BC0D16">
        <w:rPr>
          <w:lang w:eastAsia="en-US"/>
        </w:rPr>
        <w:t>Объем отгрузки по обрабатывающим производствам –</w:t>
      </w:r>
      <w:r w:rsidR="00560D6A">
        <w:rPr>
          <w:lang w:eastAsia="en-US"/>
        </w:rPr>
        <w:t xml:space="preserve"> </w:t>
      </w:r>
      <w:r w:rsidRPr="00BC0D16">
        <w:rPr>
          <w:lang w:eastAsia="en-US"/>
        </w:rPr>
        <w:t>13 114,0 млн. рублей. Доля в структуре промышленности – 1,2%, индекс производства сложился на уровне 100,0%.</w:t>
      </w:r>
    </w:p>
    <w:p w:rsidR="00BC0D16" w:rsidRPr="00BC0D16" w:rsidRDefault="00BC0D16" w:rsidP="00560D6A">
      <w:pPr>
        <w:ind w:firstLine="709"/>
        <w:jc w:val="both"/>
        <w:rPr>
          <w:lang w:eastAsia="en-US"/>
        </w:rPr>
      </w:pPr>
      <w:r w:rsidRPr="00BC0D16">
        <w:rPr>
          <w:lang w:eastAsia="en-US"/>
        </w:rPr>
        <w:t>На плановый период 2020</w:t>
      </w:r>
      <w:r w:rsidR="00560D6A">
        <w:rPr>
          <w:lang w:eastAsia="en-US"/>
        </w:rPr>
        <w:t>−</w:t>
      </w:r>
      <w:r w:rsidRPr="00BC0D16">
        <w:rPr>
          <w:lang w:eastAsia="en-US"/>
        </w:rPr>
        <w:t>2025 годов в целом по разделу «Промышленность» прогнозируется:</w:t>
      </w:r>
    </w:p>
    <w:p w:rsidR="00BC0D16" w:rsidRPr="00BC0D16" w:rsidRDefault="00BC0D16" w:rsidP="00BC0D16">
      <w:pPr>
        <w:rPr>
          <w:lang w:eastAsia="en-US"/>
        </w:rPr>
      </w:pPr>
    </w:p>
    <w:tbl>
      <w:tblPr>
        <w:tblW w:w="538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719"/>
        <w:gridCol w:w="798"/>
        <w:gridCol w:w="733"/>
        <w:gridCol w:w="765"/>
        <w:gridCol w:w="735"/>
        <w:gridCol w:w="658"/>
        <w:gridCol w:w="731"/>
        <w:gridCol w:w="661"/>
        <w:gridCol w:w="733"/>
        <w:gridCol w:w="667"/>
        <w:gridCol w:w="839"/>
        <w:gridCol w:w="850"/>
      </w:tblGrid>
      <w:tr w:rsidR="00BC0D16" w:rsidRPr="00560D6A" w:rsidTr="00BD670B">
        <w:trPr>
          <w:trHeight w:val="565"/>
        </w:trPr>
        <w:tc>
          <w:tcPr>
            <w:tcW w:w="815" w:type="pct"/>
            <w:vMerge w:val="restart"/>
            <w:vAlign w:val="center"/>
          </w:tcPr>
          <w:p w:rsidR="00BC0D16" w:rsidRPr="00560D6A" w:rsidRDefault="00BC0D16" w:rsidP="00BC0D16">
            <w:pPr>
              <w:rPr>
                <w:b/>
                <w:sz w:val="24"/>
                <w:szCs w:val="24"/>
                <w:lang w:eastAsia="en-US"/>
              </w:rPr>
            </w:pPr>
            <w:r w:rsidRPr="00560D6A">
              <w:rPr>
                <w:b/>
                <w:sz w:val="24"/>
                <w:szCs w:val="24"/>
                <w:lang w:eastAsia="en-US"/>
              </w:rPr>
              <w:t>По виду деятельности</w:t>
            </w:r>
          </w:p>
        </w:tc>
        <w:tc>
          <w:tcPr>
            <w:tcW w:w="714" w:type="pct"/>
            <w:gridSpan w:val="2"/>
            <w:vAlign w:val="center"/>
          </w:tcPr>
          <w:p w:rsidR="00BC0D16" w:rsidRPr="00560D6A" w:rsidRDefault="00BC0D16" w:rsidP="00BC0D16">
            <w:pPr>
              <w:rPr>
                <w:b/>
                <w:sz w:val="24"/>
                <w:szCs w:val="24"/>
                <w:lang w:eastAsia="en-US"/>
              </w:rPr>
            </w:pPr>
            <w:r w:rsidRPr="00560D6A">
              <w:rPr>
                <w:b/>
                <w:sz w:val="24"/>
                <w:szCs w:val="24"/>
                <w:lang w:eastAsia="en-US"/>
              </w:rPr>
              <w:t>2020 год</w:t>
            </w:r>
          </w:p>
        </w:tc>
        <w:tc>
          <w:tcPr>
            <w:tcW w:w="705" w:type="pct"/>
            <w:gridSpan w:val="2"/>
            <w:vAlign w:val="center"/>
          </w:tcPr>
          <w:p w:rsidR="00BC0D16" w:rsidRPr="00560D6A" w:rsidRDefault="00BC0D16" w:rsidP="00BC0D16">
            <w:pPr>
              <w:rPr>
                <w:b/>
                <w:sz w:val="24"/>
                <w:szCs w:val="24"/>
                <w:lang w:eastAsia="en-US"/>
              </w:rPr>
            </w:pPr>
            <w:r w:rsidRPr="00560D6A">
              <w:rPr>
                <w:b/>
                <w:sz w:val="24"/>
                <w:szCs w:val="24"/>
                <w:lang w:eastAsia="en-US"/>
              </w:rPr>
              <w:t>2021 год</w:t>
            </w:r>
          </w:p>
        </w:tc>
        <w:tc>
          <w:tcPr>
            <w:tcW w:w="656" w:type="pct"/>
            <w:gridSpan w:val="2"/>
            <w:vAlign w:val="center"/>
          </w:tcPr>
          <w:p w:rsidR="00BC0D16" w:rsidRPr="00560D6A" w:rsidRDefault="00BC0D16" w:rsidP="00BC0D16">
            <w:pPr>
              <w:rPr>
                <w:b/>
                <w:sz w:val="24"/>
                <w:szCs w:val="24"/>
                <w:lang w:eastAsia="en-US"/>
              </w:rPr>
            </w:pPr>
            <w:r w:rsidRPr="00560D6A">
              <w:rPr>
                <w:b/>
                <w:sz w:val="24"/>
                <w:szCs w:val="24"/>
                <w:lang w:eastAsia="en-US"/>
              </w:rPr>
              <w:t>2022 год</w:t>
            </w:r>
          </w:p>
        </w:tc>
        <w:tc>
          <w:tcPr>
            <w:tcW w:w="655" w:type="pct"/>
            <w:gridSpan w:val="2"/>
            <w:vAlign w:val="center"/>
          </w:tcPr>
          <w:p w:rsidR="00BC0D16" w:rsidRPr="00560D6A" w:rsidRDefault="00BC0D16" w:rsidP="00BC0D16">
            <w:pPr>
              <w:rPr>
                <w:b/>
                <w:sz w:val="24"/>
                <w:szCs w:val="24"/>
                <w:lang w:eastAsia="en-US"/>
              </w:rPr>
            </w:pPr>
            <w:r w:rsidRPr="00560D6A">
              <w:rPr>
                <w:b/>
                <w:sz w:val="24"/>
                <w:szCs w:val="24"/>
                <w:lang w:eastAsia="en-US"/>
              </w:rPr>
              <w:t>2023 год</w:t>
            </w:r>
          </w:p>
        </w:tc>
        <w:tc>
          <w:tcPr>
            <w:tcW w:w="659" w:type="pct"/>
            <w:gridSpan w:val="2"/>
            <w:vAlign w:val="center"/>
          </w:tcPr>
          <w:p w:rsidR="00BC0D16" w:rsidRPr="00560D6A" w:rsidRDefault="00BC0D16" w:rsidP="00BC0D16">
            <w:pPr>
              <w:rPr>
                <w:b/>
                <w:sz w:val="24"/>
                <w:szCs w:val="24"/>
                <w:lang w:eastAsia="en-US"/>
              </w:rPr>
            </w:pPr>
            <w:r w:rsidRPr="00560D6A">
              <w:rPr>
                <w:b/>
                <w:sz w:val="24"/>
                <w:szCs w:val="24"/>
                <w:lang w:eastAsia="en-US"/>
              </w:rPr>
              <w:t>2024 год</w:t>
            </w:r>
          </w:p>
        </w:tc>
        <w:tc>
          <w:tcPr>
            <w:tcW w:w="795" w:type="pct"/>
            <w:gridSpan w:val="2"/>
            <w:vAlign w:val="center"/>
          </w:tcPr>
          <w:p w:rsidR="00BC0D16" w:rsidRPr="00560D6A" w:rsidRDefault="00BC0D16" w:rsidP="00BC0D16">
            <w:pPr>
              <w:rPr>
                <w:b/>
                <w:sz w:val="24"/>
                <w:szCs w:val="24"/>
                <w:lang w:eastAsia="en-US"/>
              </w:rPr>
            </w:pPr>
            <w:r w:rsidRPr="00560D6A">
              <w:rPr>
                <w:b/>
                <w:sz w:val="24"/>
                <w:szCs w:val="24"/>
                <w:lang w:eastAsia="en-US"/>
              </w:rPr>
              <w:t>2025 год</w:t>
            </w:r>
          </w:p>
        </w:tc>
      </w:tr>
      <w:tr w:rsidR="00BC0D16" w:rsidRPr="00560D6A" w:rsidTr="00BD670B">
        <w:trPr>
          <w:trHeight w:val="2084"/>
        </w:trPr>
        <w:tc>
          <w:tcPr>
            <w:tcW w:w="815" w:type="pct"/>
            <w:vMerge/>
            <w:vAlign w:val="center"/>
          </w:tcPr>
          <w:p w:rsidR="00BC0D16" w:rsidRPr="00560D6A" w:rsidRDefault="00BC0D16" w:rsidP="00BC0D16">
            <w:pPr>
              <w:rPr>
                <w:b/>
                <w:sz w:val="24"/>
                <w:szCs w:val="24"/>
                <w:lang w:eastAsia="en-US"/>
              </w:rPr>
            </w:pPr>
          </w:p>
        </w:tc>
        <w:tc>
          <w:tcPr>
            <w:tcW w:w="339" w:type="pct"/>
            <w:vAlign w:val="center"/>
          </w:tcPr>
          <w:p w:rsidR="00BC0D16" w:rsidRPr="00560D6A" w:rsidRDefault="00BC0D16" w:rsidP="00BC0D16">
            <w:pPr>
              <w:rPr>
                <w:b/>
                <w:sz w:val="24"/>
                <w:szCs w:val="24"/>
                <w:lang w:eastAsia="en-US"/>
              </w:rPr>
            </w:pPr>
            <w:r w:rsidRPr="00560D6A">
              <w:rPr>
                <w:b/>
                <w:sz w:val="24"/>
                <w:szCs w:val="24"/>
                <w:lang w:eastAsia="en-US"/>
              </w:rPr>
              <w:t>Объем, млрд.</w:t>
            </w:r>
            <w:r w:rsidR="00560D6A">
              <w:rPr>
                <w:b/>
                <w:sz w:val="24"/>
                <w:szCs w:val="24"/>
                <w:lang w:eastAsia="en-US"/>
              </w:rPr>
              <w:t xml:space="preserve"> </w:t>
            </w:r>
            <w:r w:rsidRPr="00560D6A">
              <w:rPr>
                <w:b/>
                <w:sz w:val="24"/>
                <w:szCs w:val="24"/>
                <w:lang w:eastAsia="en-US"/>
              </w:rPr>
              <w:t>руб.</w:t>
            </w:r>
          </w:p>
        </w:tc>
        <w:tc>
          <w:tcPr>
            <w:tcW w:w="376" w:type="pct"/>
            <w:vAlign w:val="center"/>
          </w:tcPr>
          <w:p w:rsidR="00BC0D16" w:rsidRPr="00560D6A" w:rsidRDefault="00BC0D16" w:rsidP="00BC0D16">
            <w:pPr>
              <w:rPr>
                <w:b/>
                <w:sz w:val="24"/>
                <w:szCs w:val="24"/>
                <w:lang w:eastAsia="en-US"/>
              </w:rPr>
            </w:pPr>
            <w:proofErr w:type="gramStart"/>
            <w:r w:rsidRPr="00560D6A">
              <w:rPr>
                <w:b/>
                <w:sz w:val="24"/>
                <w:szCs w:val="24"/>
                <w:lang w:eastAsia="en-US"/>
              </w:rPr>
              <w:t>Индекс–производства</w:t>
            </w:r>
            <w:proofErr w:type="gramEnd"/>
          </w:p>
        </w:tc>
        <w:tc>
          <w:tcPr>
            <w:tcW w:w="345" w:type="pct"/>
            <w:vAlign w:val="center"/>
          </w:tcPr>
          <w:p w:rsidR="00BC0D16" w:rsidRPr="00560D6A" w:rsidRDefault="00BC0D16" w:rsidP="00BC0D16">
            <w:pPr>
              <w:rPr>
                <w:b/>
                <w:sz w:val="24"/>
                <w:szCs w:val="24"/>
                <w:lang w:eastAsia="en-US"/>
              </w:rPr>
            </w:pPr>
            <w:r w:rsidRPr="00560D6A">
              <w:rPr>
                <w:b/>
                <w:sz w:val="24"/>
                <w:szCs w:val="24"/>
                <w:lang w:eastAsia="en-US"/>
              </w:rPr>
              <w:t>Объем, млрд.</w:t>
            </w:r>
            <w:r w:rsidR="00560D6A">
              <w:rPr>
                <w:b/>
                <w:sz w:val="24"/>
                <w:szCs w:val="24"/>
                <w:lang w:eastAsia="en-US"/>
              </w:rPr>
              <w:t xml:space="preserve"> </w:t>
            </w:r>
            <w:r w:rsidRPr="00560D6A">
              <w:rPr>
                <w:b/>
                <w:sz w:val="24"/>
                <w:szCs w:val="24"/>
                <w:lang w:eastAsia="en-US"/>
              </w:rPr>
              <w:t>руб.</w:t>
            </w:r>
          </w:p>
        </w:tc>
        <w:tc>
          <w:tcPr>
            <w:tcW w:w="360" w:type="pct"/>
            <w:vAlign w:val="center"/>
          </w:tcPr>
          <w:p w:rsidR="00BC0D16" w:rsidRPr="00560D6A" w:rsidRDefault="00BC0D16" w:rsidP="00BC0D16">
            <w:pPr>
              <w:rPr>
                <w:b/>
                <w:sz w:val="24"/>
                <w:szCs w:val="24"/>
                <w:lang w:eastAsia="en-US"/>
              </w:rPr>
            </w:pPr>
            <w:proofErr w:type="gramStart"/>
            <w:r w:rsidRPr="00560D6A">
              <w:rPr>
                <w:b/>
                <w:sz w:val="24"/>
                <w:szCs w:val="24"/>
                <w:lang w:eastAsia="en-US"/>
              </w:rPr>
              <w:t>Индекс–производства</w:t>
            </w:r>
            <w:proofErr w:type="gramEnd"/>
          </w:p>
        </w:tc>
        <w:tc>
          <w:tcPr>
            <w:tcW w:w="346" w:type="pct"/>
            <w:vAlign w:val="center"/>
          </w:tcPr>
          <w:p w:rsidR="00BC0D16" w:rsidRPr="00560D6A" w:rsidRDefault="00BC0D16" w:rsidP="00BC0D16">
            <w:pPr>
              <w:rPr>
                <w:b/>
                <w:sz w:val="24"/>
                <w:szCs w:val="24"/>
                <w:lang w:eastAsia="en-US"/>
              </w:rPr>
            </w:pPr>
            <w:r w:rsidRPr="00560D6A">
              <w:rPr>
                <w:b/>
                <w:sz w:val="24"/>
                <w:szCs w:val="24"/>
                <w:lang w:eastAsia="en-US"/>
              </w:rPr>
              <w:t>Объем, млрд.</w:t>
            </w:r>
            <w:r w:rsidR="00560D6A">
              <w:rPr>
                <w:b/>
                <w:sz w:val="24"/>
                <w:szCs w:val="24"/>
                <w:lang w:eastAsia="en-US"/>
              </w:rPr>
              <w:t xml:space="preserve"> </w:t>
            </w:r>
            <w:r w:rsidRPr="00560D6A">
              <w:rPr>
                <w:b/>
                <w:sz w:val="24"/>
                <w:szCs w:val="24"/>
                <w:lang w:eastAsia="en-US"/>
              </w:rPr>
              <w:t>руб.</w:t>
            </w:r>
          </w:p>
        </w:tc>
        <w:tc>
          <w:tcPr>
            <w:tcW w:w="310" w:type="pct"/>
            <w:vAlign w:val="center"/>
          </w:tcPr>
          <w:p w:rsidR="00BC0D16" w:rsidRPr="00560D6A" w:rsidRDefault="00BC0D16" w:rsidP="00BC0D16">
            <w:pPr>
              <w:rPr>
                <w:b/>
                <w:sz w:val="24"/>
                <w:szCs w:val="24"/>
                <w:lang w:eastAsia="en-US"/>
              </w:rPr>
            </w:pPr>
            <w:proofErr w:type="gramStart"/>
            <w:r w:rsidRPr="00560D6A">
              <w:rPr>
                <w:b/>
                <w:sz w:val="24"/>
                <w:szCs w:val="24"/>
                <w:lang w:eastAsia="en-US"/>
              </w:rPr>
              <w:t>Индекс–производства</w:t>
            </w:r>
            <w:proofErr w:type="gramEnd"/>
          </w:p>
        </w:tc>
        <w:tc>
          <w:tcPr>
            <w:tcW w:w="344" w:type="pct"/>
            <w:vAlign w:val="center"/>
          </w:tcPr>
          <w:p w:rsidR="00BC0D16" w:rsidRPr="00560D6A" w:rsidRDefault="00BC0D16" w:rsidP="00BC0D16">
            <w:pPr>
              <w:rPr>
                <w:b/>
                <w:sz w:val="24"/>
                <w:szCs w:val="24"/>
                <w:lang w:eastAsia="en-US"/>
              </w:rPr>
            </w:pPr>
            <w:r w:rsidRPr="00560D6A">
              <w:rPr>
                <w:b/>
                <w:sz w:val="24"/>
                <w:szCs w:val="24"/>
                <w:lang w:eastAsia="en-US"/>
              </w:rPr>
              <w:t>Объем, млрд.</w:t>
            </w:r>
            <w:r w:rsidR="00560D6A">
              <w:rPr>
                <w:b/>
                <w:sz w:val="24"/>
                <w:szCs w:val="24"/>
                <w:lang w:eastAsia="en-US"/>
              </w:rPr>
              <w:t xml:space="preserve"> </w:t>
            </w:r>
            <w:r w:rsidRPr="00560D6A">
              <w:rPr>
                <w:b/>
                <w:sz w:val="24"/>
                <w:szCs w:val="24"/>
                <w:lang w:eastAsia="en-US"/>
              </w:rPr>
              <w:t>руб.</w:t>
            </w:r>
          </w:p>
        </w:tc>
        <w:tc>
          <w:tcPr>
            <w:tcW w:w="311" w:type="pct"/>
            <w:vAlign w:val="center"/>
          </w:tcPr>
          <w:p w:rsidR="00BC0D16" w:rsidRPr="00560D6A" w:rsidRDefault="00BC0D16" w:rsidP="00BC0D16">
            <w:pPr>
              <w:rPr>
                <w:b/>
                <w:sz w:val="24"/>
                <w:szCs w:val="24"/>
                <w:lang w:eastAsia="en-US"/>
              </w:rPr>
            </w:pPr>
            <w:proofErr w:type="gramStart"/>
            <w:r w:rsidRPr="00560D6A">
              <w:rPr>
                <w:b/>
                <w:sz w:val="24"/>
                <w:szCs w:val="24"/>
                <w:lang w:eastAsia="en-US"/>
              </w:rPr>
              <w:t>Индекс–производства</w:t>
            </w:r>
            <w:proofErr w:type="gramEnd"/>
          </w:p>
        </w:tc>
        <w:tc>
          <w:tcPr>
            <w:tcW w:w="345" w:type="pct"/>
            <w:vAlign w:val="center"/>
          </w:tcPr>
          <w:p w:rsidR="00BC0D16" w:rsidRPr="00560D6A" w:rsidRDefault="00BC0D16" w:rsidP="00BC0D16">
            <w:pPr>
              <w:rPr>
                <w:b/>
                <w:sz w:val="24"/>
                <w:szCs w:val="24"/>
                <w:lang w:eastAsia="en-US"/>
              </w:rPr>
            </w:pPr>
            <w:r w:rsidRPr="00560D6A">
              <w:rPr>
                <w:b/>
                <w:sz w:val="24"/>
                <w:szCs w:val="24"/>
                <w:lang w:eastAsia="en-US"/>
              </w:rPr>
              <w:t>Объем, млрд.</w:t>
            </w:r>
            <w:r w:rsidR="00560D6A">
              <w:rPr>
                <w:b/>
                <w:sz w:val="24"/>
                <w:szCs w:val="24"/>
                <w:lang w:eastAsia="en-US"/>
              </w:rPr>
              <w:t xml:space="preserve"> </w:t>
            </w:r>
            <w:r w:rsidRPr="00560D6A">
              <w:rPr>
                <w:b/>
                <w:sz w:val="24"/>
                <w:szCs w:val="24"/>
                <w:lang w:eastAsia="en-US"/>
              </w:rPr>
              <w:t>руб.</w:t>
            </w:r>
          </w:p>
        </w:tc>
        <w:tc>
          <w:tcPr>
            <w:tcW w:w="314" w:type="pct"/>
            <w:vAlign w:val="center"/>
          </w:tcPr>
          <w:p w:rsidR="00BC0D16" w:rsidRPr="00560D6A" w:rsidRDefault="00BC0D16" w:rsidP="00BC0D16">
            <w:pPr>
              <w:rPr>
                <w:b/>
                <w:sz w:val="24"/>
                <w:szCs w:val="24"/>
                <w:lang w:eastAsia="en-US"/>
              </w:rPr>
            </w:pPr>
            <w:proofErr w:type="gramStart"/>
            <w:r w:rsidRPr="00560D6A">
              <w:rPr>
                <w:b/>
                <w:sz w:val="24"/>
                <w:szCs w:val="24"/>
                <w:lang w:eastAsia="en-US"/>
              </w:rPr>
              <w:t>Индекс–производства</w:t>
            </w:r>
            <w:proofErr w:type="gramEnd"/>
          </w:p>
        </w:tc>
        <w:tc>
          <w:tcPr>
            <w:tcW w:w="395" w:type="pct"/>
            <w:vAlign w:val="center"/>
          </w:tcPr>
          <w:p w:rsidR="00BC0D16" w:rsidRPr="00560D6A" w:rsidRDefault="00BC0D16" w:rsidP="00BC0D16">
            <w:pPr>
              <w:rPr>
                <w:b/>
                <w:sz w:val="24"/>
                <w:szCs w:val="24"/>
                <w:lang w:eastAsia="en-US"/>
              </w:rPr>
            </w:pPr>
            <w:r w:rsidRPr="00560D6A">
              <w:rPr>
                <w:b/>
                <w:sz w:val="24"/>
                <w:szCs w:val="24"/>
                <w:lang w:eastAsia="en-US"/>
              </w:rPr>
              <w:t>Объем, млрд.</w:t>
            </w:r>
            <w:r w:rsidR="00560D6A">
              <w:rPr>
                <w:b/>
                <w:sz w:val="24"/>
                <w:szCs w:val="24"/>
                <w:lang w:eastAsia="en-US"/>
              </w:rPr>
              <w:t xml:space="preserve"> </w:t>
            </w:r>
            <w:r w:rsidRPr="00560D6A">
              <w:rPr>
                <w:b/>
                <w:sz w:val="24"/>
                <w:szCs w:val="24"/>
                <w:lang w:eastAsia="en-US"/>
              </w:rPr>
              <w:t>руб.</w:t>
            </w:r>
          </w:p>
        </w:tc>
        <w:tc>
          <w:tcPr>
            <w:tcW w:w="400" w:type="pct"/>
            <w:vAlign w:val="center"/>
          </w:tcPr>
          <w:p w:rsidR="00BC0D16" w:rsidRPr="00560D6A" w:rsidRDefault="00BC0D16" w:rsidP="00BC0D16">
            <w:pPr>
              <w:rPr>
                <w:b/>
                <w:sz w:val="24"/>
                <w:szCs w:val="24"/>
                <w:lang w:eastAsia="en-US"/>
              </w:rPr>
            </w:pPr>
            <w:proofErr w:type="gramStart"/>
            <w:r w:rsidRPr="00560D6A">
              <w:rPr>
                <w:b/>
                <w:sz w:val="24"/>
                <w:szCs w:val="24"/>
                <w:lang w:eastAsia="en-US"/>
              </w:rPr>
              <w:t>Индекс–производства</w:t>
            </w:r>
            <w:proofErr w:type="gramEnd"/>
          </w:p>
        </w:tc>
      </w:tr>
      <w:tr w:rsidR="00BC0D16" w:rsidRPr="00560D6A" w:rsidTr="00BD670B">
        <w:trPr>
          <w:cantSplit/>
          <w:trHeight w:val="672"/>
        </w:trPr>
        <w:tc>
          <w:tcPr>
            <w:tcW w:w="815" w:type="pct"/>
            <w:vAlign w:val="center"/>
          </w:tcPr>
          <w:p w:rsidR="00BC0D16" w:rsidRPr="00560D6A" w:rsidRDefault="00560D6A" w:rsidP="00BC0D16">
            <w:pPr>
              <w:rPr>
                <w:sz w:val="24"/>
                <w:szCs w:val="24"/>
                <w:lang w:eastAsia="en-US"/>
              </w:rPr>
            </w:pPr>
            <w:r>
              <w:rPr>
                <w:sz w:val="24"/>
                <w:szCs w:val="24"/>
                <w:lang w:eastAsia="en-US"/>
              </w:rPr>
              <w:t>В</w:t>
            </w:r>
            <w:r w:rsidR="00BC0D16" w:rsidRPr="00560D6A">
              <w:rPr>
                <w:sz w:val="24"/>
                <w:szCs w:val="24"/>
                <w:lang w:eastAsia="en-US"/>
              </w:rPr>
              <w:t xml:space="preserve"> целом по разделу «Промышленность»</w:t>
            </w:r>
            <w:r>
              <w:rPr>
                <w:sz w:val="24"/>
                <w:szCs w:val="24"/>
                <w:lang w:eastAsia="en-US"/>
              </w:rPr>
              <w:t>,</w:t>
            </w:r>
          </w:p>
        </w:tc>
        <w:tc>
          <w:tcPr>
            <w:tcW w:w="339" w:type="pct"/>
            <w:vAlign w:val="center"/>
          </w:tcPr>
          <w:p w:rsidR="00BC0D16" w:rsidRPr="00560D6A" w:rsidRDefault="00BC0D16" w:rsidP="00BC0D16">
            <w:pPr>
              <w:rPr>
                <w:sz w:val="24"/>
                <w:szCs w:val="24"/>
                <w:lang w:eastAsia="en-US"/>
              </w:rPr>
            </w:pPr>
            <w:r w:rsidRPr="00560D6A">
              <w:rPr>
                <w:sz w:val="24"/>
                <w:szCs w:val="24"/>
                <w:lang w:eastAsia="en-US"/>
              </w:rPr>
              <w:t>1099,2</w:t>
            </w:r>
          </w:p>
        </w:tc>
        <w:tc>
          <w:tcPr>
            <w:tcW w:w="376" w:type="pct"/>
            <w:vAlign w:val="center"/>
          </w:tcPr>
          <w:p w:rsidR="00BC0D16" w:rsidRPr="00560D6A" w:rsidRDefault="00BC0D16" w:rsidP="00BC0D16">
            <w:pPr>
              <w:rPr>
                <w:sz w:val="24"/>
                <w:szCs w:val="24"/>
                <w:lang w:eastAsia="en-US"/>
              </w:rPr>
            </w:pPr>
            <w:r w:rsidRPr="00560D6A">
              <w:rPr>
                <w:sz w:val="24"/>
                <w:szCs w:val="24"/>
                <w:lang w:eastAsia="en-US"/>
              </w:rPr>
              <w:t>99,71%</w:t>
            </w:r>
          </w:p>
        </w:tc>
        <w:tc>
          <w:tcPr>
            <w:tcW w:w="345" w:type="pct"/>
            <w:vAlign w:val="center"/>
          </w:tcPr>
          <w:p w:rsidR="00BC0D16" w:rsidRPr="00560D6A" w:rsidRDefault="00BC0D16" w:rsidP="00BC0D16">
            <w:pPr>
              <w:rPr>
                <w:sz w:val="24"/>
                <w:szCs w:val="24"/>
                <w:lang w:eastAsia="en-US"/>
              </w:rPr>
            </w:pPr>
            <w:r w:rsidRPr="00560D6A">
              <w:rPr>
                <w:sz w:val="24"/>
                <w:szCs w:val="24"/>
                <w:lang w:eastAsia="en-US"/>
              </w:rPr>
              <w:t>1096,4</w:t>
            </w:r>
          </w:p>
        </w:tc>
        <w:tc>
          <w:tcPr>
            <w:tcW w:w="360" w:type="pct"/>
            <w:vAlign w:val="center"/>
          </w:tcPr>
          <w:p w:rsidR="00BC0D16" w:rsidRPr="00560D6A" w:rsidRDefault="00BC0D16" w:rsidP="00BC0D16">
            <w:pPr>
              <w:rPr>
                <w:sz w:val="24"/>
                <w:szCs w:val="24"/>
                <w:lang w:eastAsia="en-US"/>
              </w:rPr>
            </w:pPr>
            <w:r w:rsidRPr="00560D6A">
              <w:rPr>
                <w:sz w:val="24"/>
                <w:szCs w:val="24"/>
                <w:lang w:eastAsia="en-US"/>
              </w:rPr>
              <w:t>99,71%</w:t>
            </w:r>
          </w:p>
        </w:tc>
        <w:tc>
          <w:tcPr>
            <w:tcW w:w="346" w:type="pct"/>
            <w:vAlign w:val="center"/>
          </w:tcPr>
          <w:p w:rsidR="00BC0D16" w:rsidRPr="00560D6A" w:rsidRDefault="00BC0D16" w:rsidP="00BC0D16">
            <w:pPr>
              <w:rPr>
                <w:sz w:val="24"/>
                <w:szCs w:val="24"/>
                <w:lang w:eastAsia="en-US"/>
              </w:rPr>
            </w:pPr>
            <w:r w:rsidRPr="00560D6A">
              <w:rPr>
                <w:sz w:val="24"/>
                <w:szCs w:val="24"/>
                <w:lang w:eastAsia="en-US"/>
              </w:rPr>
              <w:t>1096,5</w:t>
            </w:r>
          </w:p>
        </w:tc>
        <w:tc>
          <w:tcPr>
            <w:tcW w:w="310" w:type="pct"/>
            <w:vAlign w:val="center"/>
          </w:tcPr>
          <w:p w:rsidR="00BC0D16" w:rsidRPr="00560D6A" w:rsidRDefault="00BC0D16" w:rsidP="00BC0D16">
            <w:pPr>
              <w:rPr>
                <w:sz w:val="24"/>
                <w:szCs w:val="24"/>
                <w:lang w:eastAsia="en-US"/>
              </w:rPr>
            </w:pPr>
            <w:r w:rsidRPr="00560D6A">
              <w:rPr>
                <w:sz w:val="24"/>
                <w:szCs w:val="24"/>
                <w:lang w:eastAsia="en-US"/>
              </w:rPr>
              <w:t>99,71%</w:t>
            </w:r>
          </w:p>
        </w:tc>
        <w:tc>
          <w:tcPr>
            <w:tcW w:w="344" w:type="pct"/>
            <w:vAlign w:val="center"/>
          </w:tcPr>
          <w:p w:rsidR="00BC0D16" w:rsidRPr="00560D6A" w:rsidRDefault="00BC0D16" w:rsidP="00BC0D16">
            <w:pPr>
              <w:rPr>
                <w:sz w:val="24"/>
                <w:szCs w:val="24"/>
                <w:lang w:eastAsia="en-US"/>
              </w:rPr>
            </w:pPr>
            <w:r w:rsidRPr="00560D6A">
              <w:rPr>
                <w:sz w:val="24"/>
                <w:szCs w:val="24"/>
                <w:lang w:eastAsia="en-US"/>
              </w:rPr>
              <w:t>1095,8</w:t>
            </w:r>
          </w:p>
        </w:tc>
        <w:tc>
          <w:tcPr>
            <w:tcW w:w="311" w:type="pct"/>
            <w:vAlign w:val="center"/>
          </w:tcPr>
          <w:p w:rsidR="00BC0D16" w:rsidRPr="00560D6A" w:rsidRDefault="00BC0D16" w:rsidP="00BC0D16">
            <w:pPr>
              <w:rPr>
                <w:sz w:val="24"/>
                <w:szCs w:val="24"/>
                <w:lang w:eastAsia="en-US"/>
              </w:rPr>
            </w:pPr>
            <w:r w:rsidRPr="00560D6A">
              <w:rPr>
                <w:sz w:val="24"/>
                <w:szCs w:val="24"/>
                <w:lang w:eastAsia="en-US"/>
              </w:rPr>
              <w:t>99,71%</w:t>
            </w:r>
          </w:p>
        </w:tc>
        <w:tc>
          <w:tcPr>
            <w:tcW w:w="345" w:type="pct"/>
            <w:vAlign w:val="center"/>
          </w:tcPr>
          <w:p w:rsidR="00BC0D16" w:rsidRPr="00560D6A" w:rsidRDefault="00BC0D16" w:rsidP="00BC0D16">
            <w:pPr>
              <w:rPr>
                <w:sz w:val="24"/>
                <w:szCs w:val="24"/>
                <w:lang w:eastAsia="en-US"/>
              </w:rPr>
            </w:pPr>
            <w:r w:rsidRPr="00560D6A">
              <w:rPr>
                <w:sz w:val="24"/>
                <w:szCs w:val="24"/>
                <w:lang w:eastAsia="en-US"/>
              </w:rPr>
              <w:t>1095,2</w:t>
            </w:r>
          </w:p>
        </w:tc>
        <w:tc>
          <w:tcPr>
            <w:tcW w:w="314" w:type="pct"/>
            <w:vAlign w:val="center"/>
          </w:tcPr>
          <w:p w:rsidR="00BC0D16" w:rsidRPr="00560D6A" w:rsidRDefault="00BC0D16" w:rsidP="00BC0D16">
            <w:pPr>
              <w:rPr>
                <w:sz w:val="24"/>
                <w:szCs w:val="24"/>
                <w:lang w:eastAsia="en-US"/>
              </w:rPr>
            </w:pPr>
            <w:r w:rsidRPr="00560D6A">
              <w:rPr>
                <w:sz w:val="24"/>
                <w:szCs w:val="24"/>
                <w:lang w:eastAsia="en-US"/>
              </w:rPr>
              <w:t>99,71%</w:t>
            </w:r>
          </w:p>
        </w:tc>
        <w:tc>
          <w:tcPr>
            <w:tcW w:w="395" w:type="pct"/>
            <w:vAlign w:val="center"/>
          </w:tcPr>
          <w:p w:rsidR="00BC0D16" w:rsidRPr="00560D6A" w:rsidRDefault="00BC0D16" w:rsidP="00BC0D16">
            <w:pPr>
              <w:rPr>
                <w:sz w:val="24"/>
                <w:szCs w:val="24"/>
                <w:lang w:eastAsia="en-US"/>
              </w:rPr>
            </w:pPr>
            <w:r w:rsidRPr="00560D6A">
              <w:rPr>
                <w:sz w:val="24"/>
                <w:szCs w:val="24"/>
                <w:lang w:eastAsia="en-US"/>
              </w:rPr>
              <w:t>1 096 71</w:t>
            </w:r>
          </w:p>
        </w:tc>
        <w:tc>
          <w:tcPr>
            <w:tcW w:w="400" w:type="pct"/>
            <w:vAlign w:val="center"/>
          </w:tcPr>
          <w:p w:rsidR="00BC0D16" w:rsidRPr="00560D6A" w:rsidRDefault="00BC0D16" w:rsidP="00BC0D16">
            <w:pPr>
              <w:rPr>
                <w:sz w:val="24"/>
                <w:szCs w:val="24"/>
                <w:lang w:eastAsia="en-US"/>
              </w:rPr>
            </w:pPr>
            <w:r w:rsidRPr="00560D6A">
              <w:rPr>
                <w:sz w:val="24"/>
                <w:szCs w:val="24"/>
                <w:lang w:eastAsia="en-US"/>
              </w:rPr>
              <w:t>99,71%</w:t>
            </w:r>
          </w:p>
        </w:tc>
      </w:tr>
      <w:tr w:rsidR="00BC0D16" w:rsidRPr="00560D6A" w:rsidTr="00BD670B">
        <w:trPr>
          <w:cantSplit/>
          <w:trHeight w:val="315"/>
        </w:trPr>
        <w:tc>
          <w:tcPr>
            <w:tcW w:w="815" w:type="pct"/>
            <w:vAlign w:val="center"/>
          </w:tcPr>
          <w:p w:rsidR="00BC0D16" w:rsidRPr="00560D6A" w:rsidRDefault="00BC0D16" w:rsidP="00BC0D16">
            <w:pPr>
              <w:rPr>
                <w:sz w:val="24"/>
                <w:szCs w:val="24"/>
                <w:lang w:eastAsia="en-US"/>
              </w:rPr>
            </w:pPr>
            <w:r w:rsidRPr="00560D6A">
              <w:rPr>
                <w:sz w:val="24"/>
                <w:szCs w:val="24"/>
                <w:lang w:eastAsia="en-US"/>
              </w:rPr>
              <w:t>в том числе:</w:t>
            </w:r>
          </w:p>
        </w:tc>
        <w:tc>
          <w:tcPr>
            <w:tcW w:w="339" w:type="pct"/>
            <w:vAlign w:val="center"/>
          </w:tcPr>
          <w:p w:rsidR="00BC0D16" w:rsidRPr="00560D6A" w:rsidRDefault="00BC0D16" w:rsidP="00BC0D16">
            <w:pPr>
              <w:rPr>
                <w:sz w:val="24"/>
                <w:szCs w:val="24"/>
                <w:lang w:eastAsia="en-US"/>
              </w:rPr>
            </w:pPr>
          </w:p>
        </w:tc>
        <w:tc>
          <w:tcPr>
            <w:tcW w:w="376" w:type="pct"/>
            <w:vAlign w:val="center"/>
          </w:tcPr>
          <w:p w:rsidR="00BC0D16" w:rsidRPr="00560D6A" w:rsidRDefault="00BC0D16" w:rsidP="00BC0D16">
            <w:pPr>
              <w:rPr>
                <w:sz w:val="24"/>
                <w:szCs w:val="24"/>
                <w:lang w:eastAsia="en-US"/>
              </w:rPr>
            </w:pPr>
          </w:p>
        </w:tc>
        <w:tc>
          <w:tcPr>
            <w:tcW w:w="345" w:type="pct"/>
            <w:vAlign w:val="center"/>
          </w:tcPr>
          <w:p w:rsidR="00BC0D16" w:rsidRPr="00560D6A" w:rsidRDefault="00BC0D16" w:rsidP="00BC0D16">
            <w:pPr>
              <w:rPr>
                <w:sz w:val="24"/>
                <w:szCs w:val="24"/>
                <w:lang w:eastAsia="en-US"/>
              </w:rPr>
            </w:pPr>
          </w:p>
        </w:tc>
        <w:tc>
          <w:tcPr>
            <w:tcW w:w="360" w:type="pct"/>
            <w:vAlign w:val="center"/>
          </w:tcPr>
          <w:p w:rsidR="00BC0D16" w:rsidRPr="00560D6A" w:rsidRDefault="00BC0D16" w:rsidP="00BC0D16">
            <w:pPr>
              <w:rPr>
                <w:sz w:val="24"/>
                <w:szCs w:val="24"/>
                <w:lang w:eastAsia="en-US"/>
              </w:rPr>
            </w:pPr>
          </w:p>
        </w:tc>
        <w:tc>
          <w:tcPr>
            <w:tcW w:w="346" w:type="pct"/>
            <w:vAlign w:val="center"/>
          </w:tcPr>
          <w:p w:rsidR="00BC0D16" w:rsidRPr="00560D6A" w:rsidRDefault="00BC0D16" w:rsidP="00BC0D16">
            <w:pPr>
              <w:rPr>
                <w:sz w:val="24"/>
                <w:szCs w:val="24"/>
                <w:lang w:eastAsia="en-US"/>
              </w:rPr>
            </w:pPr>
          </w:p>
        </w:tc>
        <w:tc>
          <w:tcPr>
            <w:tcW w:w="310" w:type="pct"/>
            <w:vAlign w:val="center"/>
          </w:tcPr>
          <w:p w:rsidR="00BC0D16" w:rsidRPr="00560D6A" w:rsidRDefault="00BC0D16" w:rsidP="00BC0D16">
            <w:pPr>
              <w:rPr>
                <w:sz w:val="24"/>
                <w:szCs w:val="24"/>
                <w:lang w:eastAsia="en-US"/>
              </w:rPr>
            </w:pPr>
          </w:p>
        </w:tc>
        <w:tc>
          <w:tcPr>
            <w:tcW w:w="344" w:type="pct"/>
            <w:vAlign w:val="center"/>
          </w:tcPr>
          <w:p w:rsidR="00BC0D16" w:rsidRPr="00560D6A" w:rsidRDefault="00BC0D16" w:rsidP="00BC0D16">
            <w:pPr>
              <w:rPr>
                <w:sz w:val="24"/>
                <w:szCs w:val="24"/>
                <w:lang w:eastAsia="en-US"/>
              </w:rPr>
            </w:pPr>
          </w:p>
        </w:tc>
        <w:tc>
          <w:tcPr>
            <w:tcW w:w="311" w:type="pct"/>
            <w:vAlign w:val="center"/>
          </w:tcPr>
          <w:p w:rsidR="00BC0D16" w:rsidRPr="00560D6A" w:rsidRDefault="00BC0D16" w:rsidP="00BC0D16">
            <w:pPr>
              <w:rPr>
                <w:sz w:val="24"/>
                <w:szCs w:val="24"/>
                <w:lang w:eastAsia="en-US"/>
              </w:rPr>
            </w:pPr>
          </w:p>
        </w:tc>
        <w:tc>
          <w:tcPr>
            <w:tcW w:w="345" w:type="pct"/>
            <w:vAlign w:val="center"/>
          </w:tcPr>
          <w:p w:rsidR="00BC0D16" w:rsidRPr="00560D6A" w:rsidRDefault="00BC0D16" w:rsidP="00BC0D16">
            <w:pPr>
              <w:rPr>
                <w:sz w:val="24"/>
                <w:szCs w:val="24"/>
                <w:lang w:eastAsia="en-US"/>
              </w:rPr>
            </w:pPr>
          </w:p>
        </w:tc>
        <w:tc>
          <w:tcPr>
            <w:tcW w:w="314" w:type="pct"/>
            <w:vAlign w:val="center"/>
          </w:tcPr>
          <w:p w:rsidR="00BC0D16" w:rsidRPr="00560D6A" w:rsidRDefault="00BC0D16" w:rsidP="00BC0D16">
            <w:pPr>
              <w:rPr>
                <w:sz w:val="24"/>
                <w:szCs w:val="24"/>
                <w:lang w:eastAsia="en-US"/>
              </w:rPr>
            </w:pPr>
          </w:p>
        </w:tc>
        <w:tc>
          <w:tcPr>
            <w:tcW w:w="395" w:type="pct"/>
            <w:vAlign w:val="center"/>
          </w:tcPr>
          <w:p w:rsidR="00BC0D16" w:rsidRPr="00560D6A" w:rsidRDefault="00BC0D16" w:rsidP="00BC0D16">
            <w:pPr>
              <w:rPr>
                <w:sz w:val="24"/>
                <w:szCs w:val="24"/>
                <w:lang w:eastAsia="en-US"/>
              </w:rPr>
            </w:pPr>
          </w:p>
        </w:tc>
        <w:tc>
          <w:tcPr>
            <w:tcW w:w="400" w:type="pct"/>
            <w:vAlign w:val="center"/>
          </w:tcPr>
          <w:p w:rsidR="00BC0D16" w:rsidRPr="00560D6A" w:rsidRDefault="00BC0D16" w:rsidP="00BC0D16">
            <w:pPr>
              <w:rPr>
                <w:sz w:val="24"/>
                <w:szCs w:val="24"/>
                <w:lang w:eastAsia="en-US"/>
              </w:rPr>
            </w:pPr>
          </w:p>
        </w:tc>
      </w:tr>
      <w:tr w:rsidR="00BC0D16" w:rsidRPr="00560D6A" w:rsidTr="00BD670B">
        <w:trPr>
          <w:cantSplit/>
          <w:trHeight w:val="587"/>
        </w:trPr>
        <w:tc>
          <w:tcPr>
            <w:tcW w:w="815" w:type="pct"/>
            <w:vAlign w:val="center"/>
          </w:tcPr>
          <w:p w:rsidR="00BC0D16" w:rsidRPr="00560D6A" w:rsidRDefault="00BC0D16" w:rsidP="00BC0D16">
            <w:pPr>
              <w:rPr>
                <w:sz w:val="24"/>
                <w:szCs w:val="24"/>
                <w:lang w:eastAsia="en-US"/>
              </w:rPr>
            </w:pPr>
            <w:r w:rsidRPr="00560D6A">
              <w:rPr>
                <w:sz w:val="24"/>
                <w:szCs w:val="24"/>
                <w:lang w:eastAsia="en-US"/>
              </w:rPr>
              <w:t>добыча полезных ископаемых</w:t>
            </w:r>
          </w:p>
        </w:tc>
        <w:tc>
          <w:tcPr>
            <w:tcW w:w="339" w:type="pct"/>
            <w:vAlign w:val="center"/>
          </w:tcPr>
          <w:p w:rsidR="00BC0D16" w:rsidRPr="00560D6A" w:rsidRDefault="00BC0D16" w:rsidP="00BC0D16">
            <w:pPr>
              <w:rPr>
                <w:sz w:val="24"/>
                <w:szCs w:val="24"/>
                <w:lang w:eastAsia="en-US"/>
              </w:rPr>
            </w:pPr>
            <w:r w:rsidRPr="00560D6A">
              <w:rPr>
                <w:sz w:val="24"/>
                <w:szCs w:val="24"/>
                <w:lang w:eastAsia="en-US"/>
              </w:rPr>
              <w:t>1064,1</w:t>
            </w:r>
          </w:p>
        </w:tc>
        <w:tc>
          <w:tcPr>
            <w:tcW w:w="376" w:type="pct"/>
            <w:vAlign w:val="center"/>
          </w:tcPr>
          <w:p w:rsidR="00BC0D16" w:rsidRPr="00560D6A" w:rsidRDefault="00BC0D16" w:rsidP="00BC0D16">
            <w:pPr>
              <w:rPr>
                <w:sz w:val="24"/>
                <w:szCs w:val="24"/>
                <w:lang w:eastAsia="en-US"/>
              </w:rPr>
            </w:pPr>
            <w:r w:rsidRPr="00560D6A">
              <w:rPr>
                <w:sz w:val="24"/>
                <w:szCs w:val="24"/>
                <w:lang w:eastAsia="en-US"/>
              </w:rPr>
              <w:t>99,62%</w:t>
            </w:r>
          </w:p>
        </w:tc>
        <w:tc>
          <w:tcPr>
            <w:tcW w:w="345" w:type="pct"/>
            <w:vAlign w:val="center"/>
          </w:tcPr>
          <w:p w:rsidR="00BC0D16" w:rsidRPr="00560D6A" w:rsidRDefault="00BC0D16" w:rsidP="00BC0D16">
            <w:pPr>
              <w:rPr>
                <w:sz w:val="24"/>
                <w:szCs w:val="24"/>
                <w:lang w:eastAsia="en-US"/>
              </w:rPr>
            </w:pPr>
            <w:r w:rsidRPr="00560D6A">
              <w:rPr>
                <w:sz w:val="24"/>
                <w:szCs w:val="24"/>
                <w:lang w:eastAsia="en-US"/>
              </w:rPr>
              <w:t>1062,2</w:t>
            </w:r>
          </w:p>
        </w:tc>
        <w:tc>
          <w:tcPr>
            <w:tcW w:w="360" w:type="pct"/>
            <w:vAlign w:val="center"/>
          </w:tcPr>
          <w:p w:rsidR="00BC0D16" w:rsidRPr="00560D6A" w:rsidRDefault="00BC0D16" w:rsidP="00BC0D16">
            <w:pPr>
              <w:rPr>
                <w:sz w:val="24"/>
                <w:szCs w:val="24"/>
                <w:lang w:eastAsia="en-US"/>
              </w:rPr>
            </w:pPr>
            <w:r w:rsidRPr="00560D6A">
              <w:rPr>
                <w:sz w:val="24"/>
                <w:szCs w:val="24"/>
                <w:lang w:eastAsia="en-US"/>
              </w:rPr>
              <w:t>99,62%</w:t>
            </w:r>
          </w:p>
        </w:tc>
        <w:tc>
          <w:tcPr>
            <w:tcW w:w="346" w:type="pct"/>
            <w:vAlign w:val="center"/>
          </w:tcPr>
          <w:p w:rsidR="00BC0D16" w:rsidRPr="00560D6A" w:rsidRDefault="00BC0D16" w:rsidP="00BC0D16">
            <w:pPr>
              <w:rPr>
                <w:sz w:val="24"/>
                <w:szCs w:val="24"/>
                <w:lang w:eastAsia="en-US"/>
              </w:rPr>
            </w:pPr>
            <w:r w:rsidRPr="00560D6A">
              <w:rPr>
                <w:sz w:val="24"/>
                <w:szCs w:val="24"/>
                <w:lang w:eastAsia="en-US"/>
              </w:rPr>
              <w:t>1060,5</w:t>
            </w:r>
          </w:p>
        </w:tc>
        <w:tc>
          <w:tcPr>
            <w:tcW w:w="310" w:type="pct"/>
            <w:vAlign w:val="center"/>
          </w:tcPr>
          <w:p w:rsidR="00BC0D16" w:rsidRPr="00560D6A" w:rsidRDefault="00BC0D16" w:rsidP="00BC0D16">
            <w:pPr>
              <w:rPr>
                <w:sz w:val="24"/>
                <w:szCs w:val="24"/>
                <w:lang w:eastAsia="en-US"/>
              </w:rPr>
            </w:pPr>
            <w:r w:rsidRPr="00560D6A">
              <w:rPr>
                <w:sz w:val="24"/>
                <w:szCs w:val="24"/>
                <w:lang w:eastAsia="en-US"/>
              </w:rPr>
              <w:t>99,62%</w:t>
            </w:r>
          </w:p>
        </w:tc>
        <w:tc>
          <w:tcPr>
            <w:tcW w:w="344" w:type="pct"/>
            <w:vAlign w:val="center"/>
          </w:tcPr>
          <w:p w:rsidR="00BC0D16" w:rsidRPr="00560D6A" w:rsidRDefault="00BC0D16" w:rsidP="00BC0D16">
            <w:pPr>
              <w:rPr>
                <w:sz w:val="24"/>
                <w:szCs w:val="24"/>
                <w:lang w:eastAsia="en-US"/>
              </w:rPr>
            </w:pPr>
            <w:r w:rsidRPr="00560D6A">
              <w:rPr>
                <w:sz w:val="24"/>
                <w:szCs w:val="24"/>
                <w:lang w:eastAsia="en-US"/>
              </w:rPr>
              <w:t>1058,8</w:t>
            </w:r>
          </w:p>
        </w:tc>
        <w:tc>
          <w:tcPr>
            <w:tcW w:w="311" w:type="pct"/>
            <w:vAlign w:val="center"/>
          </w:tcPr>
          <w:p w:rsidR="00BC0D16" w:rsidRPr="00560D6A" w:rsidRDefault="00BC0D16" w:rsidP="00BC0D16">
            <w:pPr>
              <w:rPr>
                <w:sz w:val="24"/>
                <w:szCs w:val="24"/>
                <w:lang w:eastAsia="en-US"/>
              </w:rPr>
            </w:pPr>
            <w:r w:rsidRPr="00560D6A">
              <w:rPr>
                <w:sz w:val="24"/>
                <w:szCs w:val="24"/>
                <w:lang w:eastAsia="en-US"/>
              </w:rPr>
              <w:t>99,62%</w:t>
            </w:r>
          </w:p>
        </w:tc>
        <w:tc>
          <w:tcPr>
            <w:tcW w:w="345" w:type="pct"/>
            <w:vAlign w:val="center"/>
          </w:tcPr>
          <w:p w:rsidR="00BC0D16" w:rsidRPr="00560D6A" w:rsidRDefault="00BC0D16" w:rsidP="00BC0D16">
            <w:pPr>
              <w:rPr>
                <w:sz w:val="24"/>
                <w:szCs w:val="24"/>
                <w:lang w:eastAsia="en-US"/>
              </w:rPr>
            </w:pPr>
            <w:r w:rsidRPr="00560D6A">
              <w:rPr>
                <w:sz w:val="24"/>
                <w:szCs w:val="24"/>
                <w:lang w:eastAsia="en-US"/>
              </w:rPr>
              <w:t>1057,1</w:t>
            </w:r>
          </w:p>
        </w:tc>
        <w:tc>
          <w:tcPr>
            <w:tcW w:w="314" w:type="pct"/>
            <w:vAlign w:val="center"/>
          </w:tcPr>
          <w:p w:rsidR="00BC0D16" w:rsidRPr="00560D6A" w:rsidRDefault="00BC0D16" w:rsidP="00BC0D16">
            <w:pPr>
              <w:rPr>
                <w:sz w:val="24"/>
                <w:szCs w:val="24"/>
                <w:lang w:eastAsia="en-US"/>
              </w:rPr>
            </w:pPr>
            <w:r w:rsidRPr="00560D6A">
              <w:rPr>
                <w:sz w:val="24"/>
                <w:szCs w:val="24"/>
                <w:lang w:eastAsia="en-US"/>
              </w:rPr>
              <w:t>99,62%</w:t>
            </w:r>
          </w:p>
        </w:tc>
        <w:tc>
          <w:tcPr>
            <w:tcW w:w="395" w:type="pct"/>
            <w:vAlign w:val="center"/>
          </w:tcPr>
          <w:p w:rsidR="00BC0D16" w:rsidRPr="00560D6A" w:rsidRDefault="00BC0D16" w:rsidP="00BC0D16">
            <w:pPr>
              <w:rPr>
                <w:sz w:val="24"/>
                <w:szCs w:val="24"/>
                <w:lang w:eastAsia="en-US"/>
              </w:rPr>
            </w:pPr>
            <w:r w:rsidRPr="00560D6A">
              <w:rPr>
                <w:sz w:val="24"/>
                <w:szCs w:val="24"/>
                <w:lang w:eastAsia="en-US"/>
              </w:rPr>
              <w:t>1057,5</w:t>
            </w:r>
          </w:p>
        </w:tc>
        <w:tc>
          <w:tcPr>
            <w:tcW w:w="400" w:type="pct"/>
            <w:vAlign w:val="center"/>
          </w:tcPr>
          <w:p w:rsidR="00BC0D16" w:rsidRPr="00560D6A" w:rsidRDefault="00BC0D16" w:rsidP="00BC0D16">
            <w:pPr>
              <w:rPr>
                <w:sz w:val="24"/>
                <w:szCs w:val="24"/>
                <w:lang w:eastAsia="en-US"/>
              </w:rPr>
            </w:pPr>
            <w:r w:rsidRPr="00560D6A">
              <w:rPr>
                <w:sz w:val="24"/>
                <w:szCs w:val="24"/>
                <w:lang w:eastAsia="en-US"/>
              </w:rPr>
              <w:t>99,62%</w:t>
            </w:r>
          </w:p>
        </w:tc>
      </w:tr>
      <w:tr w:rsidR="00BC0D16" w:rsidRPr="00560D6A" w:rsidTr="00BD670B">
        <w:trPr>
          <w:cantSplit/>
          <w:trHeight w:val="567"/>
        </w:trPr>
        <w:tc>
          <w:tcPr>
            <w:tcW w:w="815" w:type="pct"/>
            <w:vAlign w:val="center"/>
          </w:tcPr>
          <w:p w:rsidR="00BC0D16" w:rsidRPr="00560D6A" w:rsidRDefault="00BC0D16" w:rsidP="00BC0D16">
            <w:pPr>
              <w:rPr>
                <w:sz w:val="24"/>
                <w:szCs w:val="24"/>
                <w:lang w:eastAsia="en-US"/>
              </w:rPr>
            </w:pPr>
            <w:r w:rsidRPr="00560D6A">
              <w:rPr>
                <w:sz w:val="24"/>
                <w:szCs w:val="24"/>
                <w:lang w:eastAsia="en-US"/>
              </w:rPr>
              <w:t>обрабатывающие производства</w:t>
            </w:r>
          </w:p>
        </w:tc>
        <w:tc>
          <w:tcPr>
            <w:tcW w:w="339" w:type="pct"/>
            <w:vAlign w:val="center"/>
          </w:tcPr>
          <w:p w:rsidR="00BC0D16" w:rsidRPr="00560D6A" w:rsidRDefault="00BC0D16" w:rsidP="00BC0D16">
            <w:pPr>
              <w:rPr>
                <w:sz w:val="24"/>
                <w:szCs w:val="24"/>
                <w:lang w:eastAsia="en-US"/>
              </w:rPr>
            </w:pPr>
            <w:r w:rsidRPr="00560D6A">
              <w:rPr>
                <w:sz w:val="24"/>
                <w:szCs w:val="24"/>
                <w:lang w:eastAsia="en-US"/>
              </w:rPr>
              <w:t>13,253</w:t>
            </w:r>
          </w:p>
        </w:tc>
        <w:tc>
          <w:tcPr>
            <w:tcW w:w="376" w:type="pct"/>
            <w:vAlign w:val="center"/>
          </w:tcPr>
          <w:p w:rsidR="00BC0D16" w:rsidRPr="00560D6A" w:rsidRDefault="00BC0D16" w:rsidP="00BC0D16">
            <w:pPr>
              <w:rPr>
                <w:sz w:val="24"/>
                <w:szCs w:val="24"/>
                <w:lang w:eastAsia="en-US"/>
              </w:rPr>
            </w:pPr>
            <w:r w:rsidRPr="00560D6A">
              <w:rPr>
                <w:sz w:val="24"/>
                <w:szCs w:val="24"/>
                <w:lang w:eastAsia="en-US"/>
              </w:rPr>
              <w:t>100,22%</w:t>
            </w:r>
          </w:p>
        </w:tc>
        <w:tc>
          <w:tcPr>
            <w:tcW w:w="345" w:type="pct"/>
            <w:vAlign w:val="center"/>
          </w:tcPr>
          <w:p w:rsidR="00BC0D16" w:rsidRPr="00560D6A" w:rsidRDefault="00BC0D16" w:rsidP="00BC0D16">
            <w:pPr>
              <w:rPr>
                <w:sz w:val="24"/>
                <w:szCs w:val="24"/>
                <w:lang w:eastAsia="en-US"/>
              </w:rPr>
            </w:pPr>
            <w:r w:rsidRPr="00560D6A">
              <w:rPr>
                <w:sz w:val="24"/>
                <w:szCs w:val="24"/>
                <w:lang w:eastAsia="en-US"/>
              </w:rPr>
              <w:t>13,434</w:t>
            </w:r>
          </w:p>
        </w:tc>
        <w:tc>
          <w:tcPr>
            <w:tcW w:w="360" w:type="pct"/>
            <w:vAlign w:val="center"/>
          </w:tcPr>
          <w:p w:rsidR="00BC0D16" w:rsidRPr="00560D6A" w:rsidRDefault="00BC0D16" w:rsidP="00BC0D16">
            <w:pPr>
              <w:rPr>
                <w:sz w:val="24"/>
                <w:szCs w:val="24"/>
                <w:lang w:eastAsia="en-US"/>
              </w:rPr>
            </w:pPr>
            <w:r w:rsidRPr="00560D6A">
              <w:rPr>
                <w:sz w:val="24"/>
                <w:szCs w:val="24"/>
                <w:lang w:eastAsia="en-US"/>
              </w:rPr>
              <w:t>100,02%</w:t>
            </w:r>
          </w:p>
        </w:tc>
        <w:tc>
          <w:tcPr>
            <w:tcW w:w="346" w:type="pct"/>
            <w:vAlign w:val="center"/>
          </w:tcPr>
          <w:p w:rsidR="00BC0D16" w:rsidRPr="00560D6A" w:rsidRDefault="00BC0D16" w:rsidP="00BC0D16">
            <w:pPr>
              <w:rPr>
                <w:sz w:val="24"/>
                <w:szCs w:val="24"/>
                <w:lang w:eastAsia="en-US"/>
              </w:rPr>
            </w:pPr>
            <w:r w:rsidRPr="00560D6A">
              <w:rPr>
                <w:sz w:val="24"/>
                <w:szCs w:val="24"/>
                <w:lang w:eastAsia="en-US"/>
              </w:rPr>
              <w:t>13,772</w:t>
            </w:r>
          </w:p>
        </w:tc>
        <w:tc>
          <w:tcPr>
            <w:tcW w:w="310" w:type="pct"/>
            <w:vAlign w:val="center"/>
          </w:tcPr>
          <w:p w:rsidR="00BC0D16" w:rsidRPr="00560D6A" w:rsidRDefault="00BC0D16" w:rsidP="00BC0D16">
            <w:pPr>
              <w:rPr>
                <w:sz w:val="24"/>
                <w:szCs w:val="24"/>
                <w:lang w:eastAsia="en-US"/>
              </w:rPr>
            </w:pPr>
            <w:r w:rsidRPr="00560D6A">
              <w:rPr>
                <w:sz w:val="24"/>
                <w:szCs w:val="24"/>
                <w:lang w:eastAsia="en-US"/>
              </w:rPr>
              <w:t>100,02%</w:t>
            </w:r>
          </w:p>
        </w:tc>
        <w:tc>
          <w:tcPr>
            <w:tcW w:w="344" w:type="pct"/>
            <w:vAlign w:val="center"/>
          </w:tcPr>
          <w:p w:rsidR="00BC0D16" w:rsidRPr="00560D6A" w:rsidRDefault="00BC0D16" w:rsidP="00BC0D16">
            <w:pPr>
              <w:rPr>
                <w:sz w:val="24"/>
                <w:szCs w:val="24"/>
                <w:lang w:eastAsia="en-US"/>
              </w:rPr>
            </w:pPr>
            <w:r w:rsidRPr="00560D6A">
              <w:rPr>
                <w:sz w:val="24"/>
                <w:szCs w:val="24"/>
                <w:lang w:eastAsia="en-US"/>
              </w:rPr>
              <w:t>14,130</w:t>
            </w:r>
          </w:p>
        </w:tc>
        <w:tc>
          <w:tcPr>
            <w:tcW w:w="311" w:type="pct"/>
            <w:vAlign w:val="center"/>
          </w:tcPr>
          <w:p w:rsidR="00BC0D16" w:rsidRPr="00560D6A" w:rsidRDefault="00BC0D16" w:rsidP="00BC0D16">
            <w:pPr>
              <w:rPr>
                <w:sz w:val="24"/>
                <w:szCs w:val="24"/>
                <w:lang w:eastAsia="en-US"/>
              </w:rPr>
            </w:pPr>
            <w:r w:rsidRPr="00560D6A">
              <w:rPr>
                <w:sz w:val="24"/>
                <w:szCs w:val="24"/>
                <w:lang w:eastAsia="en-US"/>
              </w:rPr>
              <w:t>100,06%</w:t>
            </w:r>
          </w:p>
        </w:tc>
        <w:tc>
          <w:tcPr>
            <w:tcW w:w="345" w:type="pct"/>
            <w:vAlign w:val="center"/>
          </w:tcPr>
          <w:p w:rsidR="00BC0D16" w:rsidRPr="00560D6A" w:rsidRDefault="00BC0D16" w:rsidP="00BC0D16">
            <w:pPr>
              <w:rPr>
                <w:sz w:val="24"/>
                <w:szCs w:val="24"/>
                <w:lang w:eastAsia="en-US"/>
              </w:rPr>
            </w:pPr>
            <w:r w:rsidRPr="00560D6A">
              <w:rPr>
                <w:sz w:val="24"/>
                <w:szCs w:val="24"/>
                <w:lang w:eastAsia="en-US"/>
              </w:rPr>
              <w:t>14,511</w:t>
            </w:r>
          </w:p>
        </w:tc>
        <w:tc>
          <w:tcPr>
            <w:tcW w:w="314" w:type="pct"/>
            <w:vAlign w:val="center"/>
          </w:tcPr>
          <w:p w:rsidR="00BC0D16" w:rsidRPr="00560D6A" w:rsidRDefault="00BC0D16" w:rsidP="00BC0D16">
            <w:pPr>
              <w:rPr>
                <w:sz w:val="24"/>
                <w:szCs w:val="24"/>
                <w:lang w:eastAsia="en-US"/>
              </w:rPr>
            </w:pPr>
            <w:r w:rsidRPr="00560D6A">
              <w:rPr>
                <w:sz w:val="24"/>
                <w:szCs w:val="24"/>
                <w:lang w:eastAsia="en-US"/>
              </w:rPr>
              <w:t>100,07</w:t>
            </w:r>
          </w:p>
        </w:tc>
        <w:tc>
          <w:tcPr>
            <w:tcW w:w="395" w:type="pct"/>
            <w:vAlign w:val="center"/>
          </w:tcPr>
          <w:p w:rsidR="00BC0D16" w:rsidRPr="00560D6A" w:rsidRDefault="00BC0D16" w:rsidP="00BC0D16">
            <w:pPr>
              <w:rPr>
                <w:sz w:val="24"/>
                <w:szCs w:val="24"/>
                <w:lang w:eastAsia="en-US"/>
              </w:rPr>
            </w:pPr>
            <w:r w:rsidRPr="00560D6A">
              <w:rPr>
                <w:sz w:val="24"/>
                <w:szCs w:val="24"/>
                <w:lang w:eastAsia="en-US"/>
              </w:rPr>
              <w:t>14,903</w:t>
            </w:r>
          </w:p>
        </w:tc>
        <w:tc>
          <w:tcPr>
            <w:tcW w:w="400" w:type="pct"/>
            <w:vAlign w:val="center"/>
          </w:tcPr>
          <w:p w:rsidR="00BC0D16" w:rsidRPr="00560D6A" w:rsidRDefault="00BC0D16" w:rsidP="00BC0D16">
            <w:pPr>
              <w:rPr>
                <w:sz w:val="24"/>
                <w:szCs w:val="24"/>
                <w:lang w:eastAsia="en-US"/>
              </w:rPr>
            </w:pPr>
            <w:r w:rsidRPr="00560D6A">
              <w:rPr>
                <w:sz w:val="24"/>
                <w:szCs w:val="24"/>
                <w:lang w:eastAsia="en-US"/>
              </w:rPr>
              <w:t>100,07%</w:t>
            </w:r>
          </w:p>
        </w:tc>
      </w:tr>
      <w:tr w:rsidR="00BC0D16" w:rsidRPr="00560D6A" w:rsidTr="00BD670B">
        <w:trPr>
          <w:cantSplit/>
          <w:trHeight w:val="781"/>
        </w:trPr>
        <w:tc>
          <w:tcPr>
            <w:tcW w:w="815" w:type="pct"/>
            <w:vAlign w:val="center"/>
          </w:tcPr>
          <w:p w:rsidR="00BC0D16" w:rsidRPr="00560D6A" w:rsidRDefault="00BC0D16" w:rsidP="00BC0D16">
            <w:pPr>
              <w:rPr>
                <w:sz w:val="24"/>
                <w:szCs w:val="24"/>
                <w:lang w:eastAsia="en-US"/>
              </w:rPr>
            </w:pPr>
            <w:r w:rsidRPr="00560D6A">
              <w:rPr>
                <w:sz w:val="24"/>
                <w:szCs w:val="24"/>
                <w:lang w:eastAsia="en-US"/>
              </w:rPr>
              <w:t>обеспечение электрической энергией</w:t>
            </w:r>
          </w:p>
        </w:tc>
        <w:tc>
          <w:tcPr>
            <w:tcW w:w="339" w:type="pct"/>
            <w:vAlign w:val="center"/>
          </w:tcPr>
          <w:p w:rsidR="00BC0D16" w:rsidRPr="00560D6A" w:rsidRDefault="00BC0D16" w:rsidP="00BC0D16">
            <w:pPr>
              <w:rPr>
                <w:sz w:val="24"/>
                <w:szCs w:val="24"/>
                <w:lang w:eastAsia="en-US"/>
              </w:rPr>
            </w:pPr>
            <w:r w:rsidRPr="00560D6A">
              <w:rPr>
                <w:sz w:val="24"/>
                <w:szCs w:val="24"/>
                <w:lang w:eastAsia="en-US"/>
              </w:rPr>
              <w:t>21,547</w:t>
            </w:r>
          </w:p>
        </w:tc>
        <w:tc>
          <w:tcPr>
            <w:tcW w:w="376" w:type="pct"/>
            <w:vAlign w:val="center"/>
          </w:tcPr>
          <w:p w:rsidR="00BC0D16" w:rsidRPr="00560D6A" w:rsidRDefault="00BC0D16" w:rsidP="00BC0D16">
            <w:pPr>
              <w:rPr>
                <w:sz w:val="24"/>
                <w:szCs w:val="24"/>
                <w:lang w:eastAsia="en-US"/>
              </w:rPr>
            </w:pPr>
            <w:r w:rsidRPr="00560D6A">
              <w:rPr>
                <w:sz w:val="24"/>
                <w:szCs w:val="24"/>
                <w:lang w:eastAsia="en-US"/>
              </w:rPr>
              <w:t>100,3%</w:t>
            </w:r>
          </w:p>
        </w:tc>
        <w:tc>
          <w:tcPr>
            <w:tcW w:w="345" w:type="pct"/>
            <w:vAlign w:val="center"/>
          </w:tcPr>
          <w:p w:rsidR="00BC0D16" w:rsidRPr="00560D6A" w:rsidRDefault="00BC0D16" w:rsidP="00BC0D16">
            <w:pPr>
              <w:rPr>
                <w:sz w:val="24"/>
                <w:szCs w:val="24"/>
                <w:lang w:eastAsia="en-US"/>
              </w:rPr>
            </w:pPr>
            <w:r w:rsidRPr="00560D6A">
              <w:rPr>
                <w:sz w:val="24"/>
                <w:szCs w:val="24"/>
                <w:lang w:eastAsia="en-US"/>
              </w:rPr>
              <w:t>20,470</w:t>
            </w:r>
          </w:p>
        </w:tc>
        <w:tc>
          <w:tcPr>
            <w:tcW w:w="360" w:type="pct"/>
            <w:vAlign w:val="center"/>
          </w:tcPr>
          <w:p w:rsidR="00BC0D16" w:rsidRPr="00560D6A" w:rsidRDefault="00BC0D16" w:rsidP="00BC0D16">
            <w:pPr>
              <w:rPr>
                <w:sz w:val="24"/>
                <w:szCs w:val="24"/>
                <w:lang w:eastAsia="en-US"/>
              </w:rPr>
            </w:pPr>
            <w:r w:rsidRPr="00560D6A">
              <w:rPr>
                <w:sz w:val="24"/>
                <w:szCs w:val="24"/>
                <w:lang w:eastAsia="en-US"/>
              </w:rPr>
              <w:t>87,57%</w:t>
            </w:r>
          </w:p>
        </w:tc>
        <w:tc>
          <w:tcPr>
            <w:tcW w:w="346" w:type="pct"/>
            <w:vAlign w:val="center"/>
          </w:tcPr>
          <w:p w:rsidR="00BC0D16" w:rsidRPr="00560D6A" w:rsidRDefault="00BC0D16" w:rsidP="00BC0D16">
            <w:pPr>
              <w:rPr>
                <w:sz w:val="24"/>
                <w:szCs w:val="24"/>
                <w:lang w:eastAsia="en-US"/>
              </w:rPr>
            </w:pPr>
            <w:r w:rsidRPr="00560D6A">
              <w:rPr>
                <w:sz w:val="24"/>
                <w:szCs w:val="24"/>
                <w:lang w:eastAsia="en-US"/>
              </w:rPr>
              <w:t>21,903</w:t>
            </w:r>
          </w:p>
        </w:tc>
        <w:tc>
          <w:tcPr>
            <w:tcW w:w="310" w:type="pct"/>
            <w:vAlign w:val="center"/>
          </w:tcPr>
          <w:p w:rsidR="00BC0D16" w:rsidRPr="00560D6A" w:rsidRDefault="00BC0D16" w:rsidP="00BC0D16">
            <w:pPr>
              <w:rPr>
                <w:sz w:val="24"/>
                <w:szCs w:val="24"/>
                <w:lang w:eastAsia="en-US"/>
              </w:rPr>
            </w:pPr>
            <w:r w:rsidRPr="00560D6A">
              <w:rPr>
                <w:sz w:val="24"/>
                <w:szCs w:val="24"/>
                <w:lang w:eastAsia="en-US"/>
              </w:rPr>
              <w:t>100,1%</w:t>
            </w:r>
          </w:p>
        </w:tc>
        <w:tc>
          <w:tcPr>
            <w:tcW w:w="344" w:type="pct"/>
            <w:vAlign w:val="center"/>
          </w:tcPr>
          <w:p w:rsidR="00BC0D16" w:rsidRPr="00560D6A" w:rsidRDefault="00BC0D16" w:rsidP="00BC0D16">
            <w:pPr>
              <w:rPr>
                <w:sz w:val="24"/>
                <w:szCs w:val="24"/>
                <w:lang w:eastAsia="en-US"/>
              </w:rPr>
            </w:pPr>
            <w:r w:rsidRPr="00560D6A">
              <w:rPr>
                <w:sz w:val="24"/>
                <w:szCs w:val="24"/>
                <w:lang w:eastAsia="en-US"/>
              </w:rPr>
              <w:t>22,560</w:t>
            </w:r>
          </w:p>
        </w:tc>
        <w:tc>
          <w:tcPr>
            <w:tcW w:w="311" w:type="pct"/>
            <w:vAlign w:val="center"/>
          </w:tcPr>
          <w:p w:rsidR="00BC0D16" w:rsidRPr="00560D6A" w:rsidRDefault="00BC0D16" w:rsidP="00BC0D16">
            <w:pPr>
              <w:rPr>
                <w:sz w:val="24"/>
                <w:szCs w:val="24"/>
                <w:lang w:eastAsia="en-US"/>
              </w:rPr>
            </w:pPr>
            <w:r w:rsidRPr="00560D6A">
              <w:rPr>
                <w:sz w:val="24"/>
                <w:szCs w:val="24"/>
                <w:lang w:eastAsia="en-US"/>
              </w:rPr>
              <w:t>100,1%</w:t>
            </w:r>
          </w:p>
        </w:tc>
        <w:tc>
          <w:tcPr>
            <w:tcW w:w="345" w:type="pct"/>
            <w:vAlign w:val="center"/>
          </w:tcPr>
          <w:p w:rsidR="00BC0D16" w:rsidRPr="00560D6A" w:rsidRDefault="00BC0D16" w:rsidP="00BC0D16">
            <w:pPr>
              <w:rPr>
                <w:sz w:val="24"/>
                <w:szCs w:val="24"/>
                <w:lang w:eastAsia="en-US"/>
              </w:rPr>
            </w:pPr>
            <w:r w:rsidRPr="00560D6A">
              <w:rPr>
                <w:sz w:val="24"/>
                <w:szCs w:val="24"/>
                <w:lang w:eastAsia="en-US"/>
              </w:rPr>
              <w:t>23,237</w:t>
            </w:r>
          </w:p>
        </w:tc>
        <w:tc>
          <w:tcPr>
            <w:tcW w:w="314" w:type="pct"/>
            <w:vAlign w:val="center"/>
          </w:tcPr>
          <w:p w:rsidR="00BC0D16" w:rsidRPr="00560D6A" w:rsidRDefault="00BC0D16" w:rsidP="00BC0D16">
            <w:pPr>
              <w:rPr>
                <w:sz w:val="24"/>
                <w:szCs w:val="24"/>
                <w:lang w:eastAsia="en-US"/>
              </w:rPr>
            </w:pPr>
            <w:r w:rsidRPr="00560D6A">
              <w:rPr>
                <w:sz w:val="24"/>
                <w:szCs w:val="24"/>
                <w:lang w:eastAsia="en-US"/>
              </w:rPr>
              <w:t>100,1%</w:t>
            </w:r>
          </w:p>
        </w:tc>
        <w:tc>
          <w:tcPr>
            <w:tcW w:w="395" w:type="pct"/>
            <w:vAlign w:val="center"/>
          </w:tcPr>
          <w:p w:rsidR="00BC0D16" w:rsidRPr="00560D6A" w:rsidRDefault="00BC0D16" w:rsidP="00BC0D16">
            <w:pPr>
              <w:rPr>
                <w:sz w:val="24"/>
                <w:szCs w:val="24"/>
                <w:lang w:eastAsia="en-US"/>
              </w:rPr>
            </w:pPr>
            <w:r w:rsidRPr="00560D6A">
              <w:rPr>
                <w:sz w:val="24"/>
                <w:szCs w:val="24"/>
                <w:lang w:eastAsia="en-US"/>
              </w:rPr>
              <w:t>23,934</w:t>
            </w:r>
          </w:p>
        </w:tc>
        <w:tc>
          <w:tcPr>
            <w:tcW w:w="400" w:type="pct"/>
            <w:vAlign w:val="center"/>
          </w:tcPr>
          <w:p w:rsidR="00BC0D16" w:rsidRPr="00560D6A" w:rsidRDefault="00BC0D16" w:rsidP="00BC0D16">
            <w:pPr>
              <w:rPr>
                <w:sz w:val="24"/>
                <w:szCs w:val="24"/>
                <w:lang w:eastAsia="en-US"/>
              </w:rPr>
            </w:pPr>
            <w:r w:rsidRPr="00560D6A">
              <w:rPr>
                <w:sz w:val="24"/>
                <w:szCs w:val="24"/>
                <w:lang w:eastAsia="en-US"/>
              </w:rPr>
              <w:t>100,1%</w:t>
            </w:r>
          </w:p>
        </w:tc>
      </w:tr>
      <w:tr w:rsidR="00BC0D16" w:rsidRPr="00560D6A" w:rsidTr="00BD670B">
        <w:trPr>
          <w:cantSplit/>
          <w:trHeight w:val="1135"/>
        </w:trPr>
        <w:tc>
          <w:tcPr>
            <w:tcW w:w="815" w:type="pct"/>
            <w:vAlign w:val="center"/>
          </w:tcPr>
          <w:p w:rsidR="00BC0D16" w:rsidRPr="00560D6A" w:rsidRDefault="00BC0D16" w:rsidP="00560D6A">
            <w:pPr>
              <w:rPr>
                <w:sz w:val="24"/>
                <w:szCs w:val="24"/>
                <w:lang w:eastAsia="en-US"/>
              </w:rPr>
            </w:pPr>
            <w:r w:rsidRPr="00560D6A">
              <w:rPr>
                <w:sz w:val="24"/>
                <w:szCs w:val="24"/>
                <w:lang w:eastAsia="en-US"/>
              </w:rPr>
              <w:lastRenderedPageBreak/>
              <w:t xml:space="preserve">водоснабжение, водоотведение, организация сбора </w:t>
            </w:r>
            <w:proofErr w:type="spellStart"/>
            <w:r w:rsidRPr="00560D6A">
              <w:rPr>
                <w:sz w:val="24"/>
                <w:szCs w:val="24"/>
                <w:lang w:eastAsia="en-US"/>
              </w:rPr>
              <w:t>утил</w:t>
            </w:r>
            <w:proofErr w:type="spellEnd"/>
            <w:r w:rsidRPr="00560D6A">
              <w:rPr>
                <w:sz w:val="24"/>
                <w:szCs w:val="24"/>
                <w:lang w:eastAsia="en-US"/>
              </w:rPr>
              <w:t>. отходов, деятельность по ликвидации загрязнений</w:t>
            </w:r>
          </w:p>
        </w:tc>
        <w:tc>
          <w:tcPr>
            <w:tcW w:w="339" w:type="pct"/>
            <w:vAlign w:val="center"/>
          </w:tcPr>
          <w:p w:rsidR="00BC0D16" w:rsidRPr="00560D6A" w:rsidRDefault="00BC0D16" w:rsidP="00BC0D16">
            <w:pPr>
              <w:rPr>
                <w:sz w:val="24"/>
                <w:szCs w:val="24"/>
                <w:lang w:eastAsia="en-US"/>
              </w:rPr>
            </w:pPr>
            <w:r w:rsidRPr="00560D6A">
              <w:rPr>
                <w:sz w:val="24"/>
                <w:szCs w:val="24"/>
                <w:lang w:eastAsia="en-US"/>
              </w:rPr>
              <w:t>0,275</w:t>
            </w:r>
          </w:p>
        </w:tc>
        <w:tc>
          <w:tcPr>
            <w:tcW w:w="376" w:type="pct"/>
            <w:vAlign w:val="center"/>
          </w:tcPr>
          <w:p w:rsidR="00BC0D16" w:rsidRPr="00560D6A" w:rsidRDefault="00BC0D16" w:rsidP="00BC0D16">
            <w:pPr>
              <w:rPr>
                <w:sz w:val="24"/>
                <w:szCs w:val="24"/>
                <w:lang w:eastAsia="en-US"/>
              </w:rPr>
            </w:pPr>
            <w:r w:rsidRPr="00560D6A">
              <w:rPr>
                <w:sz w:val="24"/>
                <w:szCs w:val="24"/>
                <w:lang w:eastAsia="en-US"/>
              </w:rPr>
              <w:t>100,0%</w:t>
            </w:r>
          </w:p>
        </w:tc>
        <w:tc>
          <w:tcPr>
            <w:tcW w:w="345" w:type="pct"/>
            <w:vAlign w:val="center"/>
          </w:tcPr>
          <w:p w:rsidR="00BC0D16" w:rsidRPr="00560D6A" w:rsidRDefault="00BC0D16" w:rsidP="00BC0D16">
            <w:pPr>
              <w:rPr>
                <w:sz w:val="24"/>
                <w:szCs w:val="24"/>
                <w:lang w:eastAsia="en-US"/>
              </w:rPr>
            </w:pPr>
            <w:r w:rsidRPr="00560D6A">
              <w:rPr>
                <w:sz w:val="24"/>
                <w:szCs w:val="24"/>
                <w:lang w:eastAsia="en-US"/>
              </w:rPr>
              <w:t>0,286</w:t>
            </w:r>
          </w:p>
        </w:tc>
        <w:tc>
          <w:tcPr>
            <w:tcW w:w="360" w:type="pct"/>
            <w:vAlign w:val="center"/>
          </w:tcPr>
          <w:p w:rsidR="00BC0D16" w:rsidRPr="00560D6A" w:rsidRDefault="00BC0D16" w:rsidP="00BC0D16">
            <w:pPr>
              <w:rPr>
                <w:sz w:val="24"/>
                <w:szCs w:val="24"/>
                <w:lang w:eastAsia="en-US"/>
              </w:rPr>
            </w:pPr>
            <w:r w:rsidRPr="00560D6A">
              <w:rPr>
                <w:sz w:val="24"/>
                <w:szCs w:val="24"/>
                <w:lang w:eastAsia="en-US"/>
              </w:rPr>
              <w:t>100%</w:t>
            </w:r>
          </w:p>
        </w:tc>
        <w:tc>
          <w:tcPr>
            <w:tcW w:w="346" w:type="pct"/>
            <w:vAlign w:val="center"/>
          </w:tcPr>
          <w:p w:rsidR="00BC0D16" w:rsidRPr="00560D6A" w:rsidRDefault="00BC0D16" w:rsidP="00BC0D16">
            <w:pPr>
              <w:rPr>
                <w:sz w:val="24"/>
                <w:szCs w:val="24"/>
                <w:lang w:eastAsia="en-US"/>
              </w:rPr>
            </w:pPr>
            <w:r w:rsidRPr="00560D6A">
              <w:rPr>
                <w:sz w:val="24"/>
                <w:szCs w:val="24"/>
                <w:lang w:eastAsia="en-US"/>
              </w:rPr>
              <w:t>0,297</w:t>
            </w:r>
          </w:p>
        </w:tc>
        <w:tc>
          <w:tcPr>
            <w:tcW w:w="310" w:type="pct"/>
            <w:vAlign w:val="center"/>
          </w:tcPr>
          <w:p w:rsidR="00BC0D16" w:rsidRPr="00560D6A" w:rsidRDefault="00BC0D16" w:rsidP="00BC0D16">
            <w:pPr>
              <w:rPr>
                <w:sz w:val="24"/>
                <w:szCs w:val="24"/>
                <w:lang w:eastAsia="en-US"/>
              </w:rPr>
            </w:pPr>
            <w:r w:rsidRPr="00560D6A">
              <w:rPr>
                <w:sz w:val="24"/>
                <w:szCs w:val="24"/>
                <w:lang w:eastAsia="en-US"/>
              </w:rPr>
              <w:t>100%</w:t>
            </w:r>
          </w:p>
        </w:tc>
        <w:tc>
          <w:tcPr>
            <w:tcW w:w="344" w:type="pct"/>
            <w:vAlign w:val="center"/>
          </w:tcPr>
          <w:p w:rsidR="00BC0D16" w:rsidRPr="00560D6A" w:rsidRDefault="00BC0D16" w:rsidP="00BC0D16">
            <w:pPr>
              <w:rPr>
                <w:sz w:val="24"/>
                <w:szCs w:val="24"/>
                <w:lang w:eastAsia="en-US"/>
              </w:rPr>
            </w:pPr>
            <w:r w:rsidRPr="00560D6A">
              <w:rPr>
                <w:sz w:val="24"/>
                <w:szCs w:val="24"/>
                <w:lang w:eastAsia="en-US"/>
              </w:rPr>
              <w:t>0,309</w:t>
            </w:r>
          </w:p>
        </w:tc>
        <w:tc>
          <w:tcPr>
            <w:tcW w:w="311" w:type="pct"/>
            <w:vAlign w:val="center"/>
          </w:tcPr>
          <w:p w:rsidR="00BC0D16" w:rsidRPr="00560D6A" w:rsidRDefault="00BC0D16" w:rsidP="00BC0D16">
            <w:pPr>
              <w:rPr>
                <w:sz w:val="24"/>
                <w:szCs w:val="24"/>
                <w:lang w:eastAsia="en-US"/>
              </w:rPr>
            </w:pPr>
            <w:r w:rsidRPr="00560D6A">
              <w:rPr>
                <w:sz w:val="24"/>
                <w:szCs w:val="24"/>
                <w:lang w:eastAsia="en-US"/>
              </w:rPr>
              <w:t>100%</w:t>
            </w:r>
          </w:p>
        </w:tc>
        <w:tc>
          <w:tcPr>
            <w:tcW w:w="345" w:type="pct"/>
            <w:vAlign w:val="center"/>
          </w:tcPr>
          <w:p w:rsidR="00BC0D16" w:rsidRPr="00560D6A" w:rsidRDefault="00BC0D16" w:rsidP="00BC0D16">
            <w:pPr>
              <w:rPr>
                <w:sz w:val="24"/>
                <w:szCs w:val="24"/>
                <w:lang w:eastAsia="en-US"/>
              </w:rPr>
            </w:pPr>
            <w:r w:rsidRPr="00560D6A">
              <w:rPr>
                <w:sz w:val="24"/>
                <w:szCs w:val="24"/>
                <w:lang w:eastAsia="en-US"/>
              </w:rPr>
              <w:t>0,339</w:t>
            </w:r>
          </w:p>
        </w:tc>
        <w:tc>
          <w:tcPr>
            <w:tcW w:w="314" w:type="pct"/>
            <w:vAlign w:val="center"/>
          </w:tcPr>
          <w:p w:rsidR="00BC0D16" w:rsidRPr="00560D6A" w:rsidRDefault="00BC0D16" w:rsidP="00BC0D16">
            <w:pPr>
              <w:rPr>
                <w:sz w:val="24"/>
                <w:szCs w:val="24"/>
                <w:lang w:eastAsia="en-US"/>
              </w:rPr>
            </w:pPr>
            <w:r w:rsidRPr="00560D6A">
              <w:rPr>
                <w:sz w:val="24"/>
                <w:szCs w:val="24"/>
                <w:lang w:eastAsia="en-US"/>
              </w:rPr>
              <w:t>100%</w:t>
            </w:r>
          </w:p>
        </w:tc>
        <w:tc>
          <w:tcPr>
            <w:tcW w:w="395" w:type="pct"/>
            <w:vAlign w:val="center"/>
          </w:tcPr>
          <w:p w:rsidR="00BC0D16" w:rsidRPr="00560D6A" w:rsidRDefault="00BC0D16" w:rsidP="00BC0D16">
            <w:pPr>
              <w:rPr>
                <w:sz w:val="24"/>
                <w:szCs w:val="24"/>
                <w:lang w:eastAsia="en-US"/>
              </w:rPr>
            </w:pPr>
            <w:r w:rsidRPr="00560D6A">
              <w:rPr>
                <w:sz w:val="24"/>
                <w:szCs w:val="24"/>
                <w:lang w:eastAsia="en-US"/>
              </w:rPr>
              <w:t>0,373</w:t>
            </w:r>
          </w:p>
        </w:tc>
        <w:tc>
          <w:tcPr>
            <w:tcW w:w="400" w:type="pct"/>
            <w:vAlign w:val="center"/>
          </w:tcPr>
          <w:p w:rsidR="00BC0D16" w:rsidRPr="00560D6A" w:rsidRDefault="00BC0D16" w:rsidP="00BC0D16">
            <w:pPr>
              <w:rPr>
                <w:sz w:val="24"/>
                <w:szCs w:val="24"/>
                <w:lang w:eastAsia="en-US"/>
              </w:rPr>
            </w:pPr>
            <w:r w:rsidRPr="00560D6A">
              <w:rPr>
                <w:sz w:val="24"/>
                <w:szCs w:val="24"/>
                <w:lang w:eastAsia="en-US"/>
              </w:rPr>
              <w:t>100%</w:t>
            </w:r>
          </w:p>
        </w:tc>
      </w:tr>
    </w:tbl>
    <w:p w:rsidR="00BC0D16" w:rsidRPr="00BC0D16" w:rsidRDefault="00BC0D16" w:rsidP="00BC0D16">
      <w:pPr>
        <w:rPr>
          <w:lang w:eastAsia="en-US"/>
        </w:rPr>
      </w:pPr>
    </w:p>
    <w:p w:rsidR="00BC0D16" w:rsidRPr="00BC0D16" w:rsidRDefault="00560D6A" w:rsidP="00560D6A">
      <w:pPr>
        <w:ind w:firstLine="709"/>
        <w:jc w:val="both"/>
        <w:rPr>
          <w:lang w:eastAsia="en-US"/>
        </w:rPr>
      </w:pPr>
      <w:r>
        <w:rPr>
          <w:lang w:eastAsia="en-US"/>
        </w:rPr>
        <w:t xml:space="preserve">1.1. </w:t>
      </w:r>
      <w:r w:rsidR="00BC0D16" w:rsidRPr="00BC0D16">
        <w:rPr>
          <w:lang w:eastAsia="en-US"/>
        </w:rPr>
        <w:t>Добыча полезных ископаемых</w:t>
      </w:r>
      <w:r>
        <w:rPr>
          <w:lang w:eastAsia="en-US"/>
        </w:rPr>
        <w:t>.</w:t>
      </w:r>
    </w:p>
    <w:p w:rsidR="00BC0D16" w:rsidRPr="00BC0D16" w:rsidRDefault="00BC0D16" w:rsidP="00560D6A">
      <w:pPr>
        <w:ind w:firstLine="709"/>
        <w:jc w:val="both"/>
      </w:pPr>
      <w:r w:rsidRPr="00BC0D16">
        <w:t xml:space="preserve">Объемы добычи полезных ископаемых являются исходными внутренними параметрами в расчете основных </w:t>
      </w:r>
      <w:proofErr w:type="gramStart"/>
      <w:r w:rsidRPr="00BC0D16">
        <w:t>показателей прогноза социально-экономического развития территории</w:t>
      </w:r>
      <w:proofErr w:type="gramEnd"/>
      <w:r w:rsidRPr="00BC0D16">
        <w:t xml:space="preserve">. При оценке и прогнозировании показателей данных объемов учтены параметры добычи полезных ископаемых, представленные Департаментом по недропользованию Ханты-Мансийского автономного округа – Югры и нефтедобывающими организациями, осуществляющими деятельность на территории района. </w:t>
      </w:r>
    </w:p>
    <w:p w:rsidR="00BC0D16" w:rsidRPr="00BC0D16" w:rsidRDefault="00BC0D16" w:rsidP="00560D6A">
      <w:pPr>
        <w:ind w:firstLine="709"/>
        <w:jc w:val="both"/>
      </w:pPr>
      <w:r w:rsidRPr="00BC0D16">
        <w:t xml:space="preserve">Добычу нефти на территории района обеспечивают структурные единицы 7 крупных вертикально-интегрированных компаний России и 6 независимых </w:t>
      </w:r>
      <w:proofErr w:type="spellStart"/>
      <w:r w:rsidRPr="00BC0D16">
        <w:t>недропользователей</w:t>
      </w:r>
      <w:proofErr w:type="spellEnd"/>
      <w:r w:rsidRPr="00BC0D16">
        <w:t xml:space="preserve">. Наибольшее значение по объемам добычи имеют хозяйствующие субъекты нефтяной компании Роснефть (более 54% от общего объема добычи нефти на территории района). В общем объеме доля добычи,  приходящаяся на предприятия Нефтяной компании «ЛУКОЙЛ» </w:t>
      </w:r>
      <w:r w:rsidR="00560D6A">
        <w:t>−</w:t>
      </w:r>
      <w:r w:rsidRPr="00BC0D16">
        <w:t xml:space="preserve"> более 15%  </w:t>
      </w:r>
      <w:r w:rsidR="00560D6A">
        <w:t xml:space="preserve">                 </w:t>
      </w:r>
      <w:r w:rsidRPr="00BC0D16">
        <w:t>и открытого акционерного общества Нефтяная компания «</w:t>
      </w:r>
      <w:proofErr w:type="spellStart"/>
      <w:r w:rsidRPr="00BC0D16">
        <w:t>Славнефть</w:t>
      </w:r>
      <w:proofErr w:type="spellEnd"/>
      <w:r w:rsidRPr="00BC0D16">
        <w:t xml:space="preserve">» </w:t>
      </w:r>
      <w:r w:rsidR="00560D6A">
        <w:t>−</w:t>
      </w:r>
      <w:r w:rsidRPr="00BC0D16">
        <w:t xml:space="preserve"> более 15%. Оставшаяся доля приходится на структурные единицы Нефтяных компаний «</w:t>
      </w:r>
      <w:proofErr w:type="spellStart"/>
      <w:r w:rsidRPr="00BC0D16">
        <w:t>Русснефть</w:t>
      </w:r>
      <w:proofErr w:type="spellEnd"/>
      <w:r w:rsidRPr="00BC0D16">
        <w:t>» (7%), публичного акционерного общества «</w:t>
      </w:r>
      <w:proofErr w:type="spellStart"/>
      <w:r w:rsidRPr="00BC0D16">
        <w:t>Газпромнефть</w:t>
      </w:r>
      <w:proofErr w:type="spellEnd"/>
      <w:r w:rsidRPr="00BC0D16">
        <w:t xml:space="preserve">» (более 7%). </w:t>
      </w:r>
    </w:p>
    <w:p w:rsidR="00BC0D16" w:rsidRPr="00BC0D16" w:rsidRDefault="00BC0D16" w:rsidP="00560D6A">
      <w:pPr>
        <w:ind w:firstLine="709"/>
        <w:jc w:val="both"/>
      </w:pPr>
      <w:r w:rsidRPr="00BC0D16">
        <w:rPr>
          <w:lang w:val="x-none" w:eastAsia="x-none"/>
        </w:rPr>
        <w:t>На территории района по данным Департамента по недропользованию Ханты-Мансийского автономного округа – Югры за 201</w:t>
      </w:r>
      <w:r w:rsidRPr="00BC0D16">
        <w:rPr>
          <w:lang w:eastAsia="x-none"/>
        </w:rPr>
        <w:t>8</w:t>
      </w:r>
      <w:r w:rsidRPr="00BC0D16">
        <w:rPr>
          <w:lang w:val="x-none" w:eastAsia="x-none"/>
        </w:rPr>
        <w:t xml:space="preserve"> год структурными подразделениями крупнейших вертикально-интегрированных нефтяных компаний России и прочи</w:t>
      </w:r>
      <w:r w:rsidRPr="00BC0D16">
        <w:rPr>
          <w:lang w:eastAsia="x-none"/>
        </w:rPr>
        <w:t>ми</w:t>
      </w:r>
      <w:r w:rsidRPr="00BC0D16">
        <w:rPr>
          <w:lang w:val="x-none" w:eastAsia="x-none"/>
        </w:rPr>
        <w:t xml:space="preserve"> независимы</w:t>
      </w:r>
      <w:r w:rsidRPr="00BC0D16">
        <w:rPr>
          <w:lang w:eastAsia="x-none"/>
        </w:rPr>
        <w:t>ми</w:t>
      </w:r>
      <w:r w:rsidRPr="00BC0D16">
        <w:rPr>
          <w:lang w:val="x-none" w:eastAsia="x-none"/>
        </w:rPr>
        <w:t xml:space="preserve"> </w:t>
      </w:r>
      <w:proofErr w:type="spellStart"/>
      <w:r w:rsidRPr="00BC0D16">
        <w:rPr>
          <w:lang w:val="x-none" w:eastAsia="x-none"/>
        </w:rPr>
        <w:t>недропользовател</w:t>
      </w:r>
      <w:r w:rsidRPr="00BC0D16">
        <w:rPr>
          <w:lang w:eastAsia="x-none"/>
        </w:rPr>
        <w:t>ями</w:t>
      </w:r>
      <w:proofErr w:type="spellEnd"/>
      <w:r w:rsidRPr="00BC0D16">
        <w:rPr>
          <w:lang w:val="x-none" w:eastAsia="x-none"/>
        </w:rPr>
        <w:t xml:space="preserve"> добыто нефти </w:t>
      </w:r>
      <w:r w:rsidRPr="00BC0D16">
        <w:rPr>
          <w:lang w:eastAsia="x-none"/>
        </w:rPr>
        <w:t>48</w:t>
      </w:r>
      <w:r w:rsidRPr="00BC0D16">
        <w:rPr>
          <w:lang w:val="x-none" w:eastAsia="x-none"/>
        </w:rPr>
        <w:t>,</w:t>
      </w:r>
      <w:r w:rsidRPr="00BC0D16">
        <w:rPr>
          <w:lang w:eastAsia="x-none"/>
        </w:rPr>
        <w:t>8</w:t>
      </w:r>
      <w:r w:rsidRPr="00BC0D16">
        <w:rPr>
          <w:lang w:val="x-none" w:eastAsia="x-none"/>
        </w:rPr>
        <w:t xml:space="preserve"> млн. тонн, газа – </w:t>
      </w:r>
      <w:r w:rsidRPr="00BC0D16">
        <w:rPr>
          <w:lang w:eastAsia="x-none"/>
        </w:rPr>
        <w:t>14,1</w:t>
      </w:r>
      <w:r w:rsidRPr="00BC0D16">
        <w:rPr>
          <w:lang w:val="x-none" w:eastAsia="x-none"/>
        </w:rPr>
        <w:t xml:space="preserve"> млрд. куб. м, что к уровню прошлого года составляет </w:t>
      </w:r>
      <w:r w:rsidRPr="00BC0D16">
        <w:rPr>
          <w:lang w:eastAsia="x-none"/>
        </w:rPr>
        <w:t>96,4</w:t>
      </w:r>
      <w:r w:rsidRPr="00BC0D16">
        <w:rPr>
          <w:lang w:val="x-none" w:eastAsia="x-none"/>
        </w:rPr>
        <w:t xml:space="preserve">% и </w:t>
      </w:r>
      <w:r w:rsidRPr="00BC0D16">
        <w:rPr>
          <w:lang w:eastAsia="x-none"/>
        </w:rPr>
        <w:t>100,5</w:t>
      </w:r>
      <w:r w:rsidRPr="00BC0D16">
        <w:rPr>
          <w:lang w:val="x-none" w:eastAsia="x-none"/>
        </w:rPr>
        <w:t>% соответственно.</w:t>
      </w:r>
      <w:r w:rsidRPr="00BC0D16">
        <w:rPr>
          <w:lang w:eastAsia="x-none"/>
        </w:rPr>
        <w:t xml:space="preserve"> </w:t>
      </w:r>
      <w:r w:rsidRPr="00BC0D16">
        <w:t>Объем добычи нефти в 2019 году на территории Нижневартовского района прогнозируется в 49,1 млн. тонн</w:t>
      </w:r>
      <w:r w:rsidR="00560D6A">
        <w:t>,</w:t>
      </w:r>
      <w:r w:rsidRPr="00BC0D16">
        <w:t xml:space="preserve"> или 100,5% </w:t>
      </w:r>
      <w:r w:rsidR="00560D6A">
        <w:t xml:space="preserve">                                </w:t>
      </w:r>
      <w:r w:rsidRPr="00BC0D16">
        <w:t>к показателям 2018 года</w:t>
      </w:r>
      <w:r w:rsidR="00560D6A">
        <w:t>;</w:t>
      </w:r>
      <w:r w:rsidRPr="00BC0D16">
        <w:t xml:space="preserve"> добычи газа в 13,31 млрд.</w:t>
      </w:r>
      <w:r w:rsidR="00560D6A">
        <w:t xml:space="preserve"> </w:t>
      </w:r>
      <w:r w:rsidRPr="00BC0D16">
        <w:t>куб.</w:t>
      </w:r>
      <w:r w:rsidR="00560D6A">
        <w:t xml:space="preserve"> </w:t>
      </w:r>
      <w:r w:rsidRPr="00BC0D16">
        <w:t xml:space="preserve">м, или 94,5% к показателям 2018 года. </w:t>
      </w:r>
    </w:p>
    <w:p w:rsidR="00BC0D16" w:rsidRPr="00BC0D16" w:rsidRDefault="00BC0D16" w:rsidP="00560D6A">
      <w:pPr>
        <w:ind w:firstLine="709"/>
        <w:jc w:val="both"/>
      </w:pPr>
      <w:r w:rsidRPr="00BC0D16">
        <w:t xml:space="preserve">Учитывая прогнозные показатели, представленные Департаментом </w:t>
      </w:r>
      <w:r w:rsidR="00560D6A">
        <w:t xml:space="preserve">                     </w:t>
      </w:r>
      <w:r w:rsidRPr="00BC0D16">
        <w:t>по недропользованию автономного округа, в 2020</w:t>
      </w:r>
      <w:r w:rsidR="00560D6A">
        <w:t>−</w:t>
      </w:r>
      <w:r w:rsidRPr="00BC0D16">
        <w:t>2025 годах ожидается незначительное снижение объемов добычи нефти и производства нефтяного газа в районе.</w:t>
      </w:r>
    </w:p>
    <w:p w:rsidR="00BC0D16" w:rsidRDefault="00BC0D16" w:rsidP="00560D6A">
      <w:pPr>
        <w:ind w:firstLine="709"/>
        <w:jc w:val="both"/>
        <w:rPr>
          <w:lang w:eastAsia="en-US"/>
        </w:rPr>
      </w:pPr>
    </w:p>
    <w:p w:rsidR="00C3344F" w:rsidRDefault="00C3344F" w:rsidP="00560D6A">
      <w:pPr>
        <w:ind w:firstLine="709"/>
        <w:jc w:val="both"/>
        <w:rPr>
          <w:lang w:eastAsia="en-US"/>
        </w:rPr>
      </w:pPr>
    </w:p>
    <w:p w:rsidR="00C3344F" w:rsidRPr="00BC0D16" w:rsidRDefault="00C3344F" w:rsidP="00560D6A">
      <w:pPr>
        <w:ind w:firstLine="709"/>
        <w:jc w:val="both"/>
        <w:rPr>
          <w:lang w:eastAsia="en-US"/>
        </w:rPr>
      </w:pP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1200"/>
        <w:gridCol w:w="1060"/>
        <w:gridCol w:w="1194"/>
        <w:gridCol w:w="1060"/>
        <w:gridCol w:w="1178"/>
        <w:gridCol w:w="1099"/>
        <w:gridCol w:w="1093"/>
      </w:tblGrid>
      <w:tr w:rsidR="00BC0D16" w:rsidRPr="009B34DB" w:rsidTr="009B34DB">
        <w:trPr>
          <w:trHeight w:val="273"/>
        </w:trPr>
        <w:tc>
          <w:tcPr>
            <w:tcW w:w="1177" w:type="pct"/>
            <w:vMerge w:val="restart"/>
            <w:vAlign w:val="center"/>
          </w:tcPr>
          <w:p w:rsidR="00BC0D16" w:rsidRPr="009B34DB" w:rsidRDefault="00BC0D16" w:rsidP="00BC0D16">
            <w:pPr>
              <w:rPr>
                <w:sz w:val="24"/>
                <w:szCs w:val="24"/>
                <w:lang w:eastAsia="en-US"/>
              </w:rPr>
            </w:pPr>
          </w:p>
        </w:tc>
        <w:tc>
          <w:tcPr>
            <w:tcW w:w="582" w:type="pct"/>
            <w:vMerge w:val="restart"/>
          </w:tcPr>
          <w:p w:rsidR="00BC0D16" w:rsidRPr="009B34DB" w:rsidRDefault="00BC0D16" w:rsidP="009B34DB">
            <w:pPr>
              <w:jc w:val="center"/>
              <w:rPr>
                <w:b/>
                <w:sz w:val="24"/>
                <w:szCs w:val="24"/>
                <w:lang w:eastAsia="en-US"/>
              </w:rPr>
            </w:pPr>
            <w:r w:rsidRPr="009B34DB">
              <w:rPr>
                <w:b/>
                <w:sz w:val="24"/>
                <w:szCs w:val="24"/>
                <w:lang w:eastAsia="en-US"/>
              </w:rPr>
              <w:t>Оценка</w:t>
            </w:r>
          </w:p>
          <w:p w:rsidR="00BC0D16" w:rsidRPr="009B34DB" w:rsidRDefault="00BC0D16" w:rsidP="009B34DB">
            <w:pPr>
              <w:jc w:val="center"/>
              <w:rPr>
                <w:b/>
                <w:sz w:val="24"/>
                <w:szCs w:val="24"/>
                <w:lang w:eastAsia="en-US"/>
              </w:rPr>
            </w:pPr>
            <w:r w:rsidRPr="009B34DB">
              <w:rPr>
                <w:b/>
                <w:sz w:val="24"/>
                <w:szCs w:val="24"/>
                <w:lang w:eastAsia="en-US"/>
              </w:rPr>
              <w:lastRenderedPageBreak/>
              <w:t>2019 год</w:t>
            </w:r>
          </w:p>
        </w:tc>
        <w:tc>
          <w:tcPr>
            <w:tcW w:w="3242" w:type="pct"/>
            <w:gridSpan w:val="6"/>
          </w:tcPr>
          <w:p w:rsidR="00BC0D16" w:rsidRPr="009B34DB" w:rsidRDefault="00BC0D16" w:rsidP="009B34DB">
            <w:pPr>
              <w:jc w:val="center"/>
              <w:rPr>
                <w:b/>
                <w:sz w:val="24"/>
                <w:szCs w:val="24"/>
                <w:lang w:eastAsia="en-US"/>
              </w:rPr>
            </w:pPr>
            <w:r w:rsidRPr="009B34DB">
              <w:rPr>
                <w:b/>
                <w:sz w:val="24"/>
                <w:szCs w:val="24"/>
                <w:lang w:eastAsia="en-US"/>
              </w:rPr>
              <w:lastRenderedPageBreak/>
              <w:t>Прогноз добычи на территории района</w:t>
            </w:r>
          </w:p>
        </w:tc>
      </w:tr>
      <w:tr w:rsidR="00BC0D16" w:rsidRPr="009B34DB" w:rsidTr="009B34DB">
        <w:trPr>
          <w:trHeight w:val="387"/>
        </w:trPr>
        <w:tc>
          <w:tcPr>
            <w:tcW w:w="1177" w:type="pct"/>
            <w:vMerge/>
            <w:vAlign w:val="center"/>
          </w:tcPr>
          <w:p w:rsidR="00BC0D16" w:rsidRPr="009B34DB" w:rsidRDefault="00BC0D16" w:rsidP="00BC0D16">
            <w:pPr>
              <w:rPr>
                <w:sz w:val="24"/>
                <w:szCs w:val="24"/>
                <w:lang w:eastAsia="en-US"/>
              </w:rPr>
            </w:pPr>
          </w:p>
        </w:tc>
        <w:tc>
          <w:tcPr>
            <w:tcW w:w="582" w:type="pct"/>
            <w:vMerge/>
          </w:tcPr>
          <w:p w:rsidR="00BC0D16" w:rsidRPr="009B34DB" w:rsidRDefault="00BC0D16" w:rsidP="009B34DB">
            <w:pPr>
              <w:jc w:val="center"/>
              <w:rPr>
                <w:b/>
                <w:sz w:val="24"/>
                <w:szCs w:val="24"/>
                <w:lang w:eastAsia="en-US"/>
              </w:rPr>
            </w:pPr>
          </w:p>
        </w:tc>
        <w:tc>
          <w:tcPr>
            <w:tcW w:w="514" w:type="pct"/>
          </w:tcPr>
          <w:p w:rsidR="00BC0D16" w:rsidRPr="009B34DB" w:rsidRDefault="00BC0D16" w:rsidP="009B34DB">
            <w:pPr>
              <w:jc w:val="center"/>
              <w:rPr>
                <w:b/>
                <w:sz w:val="24"/>
                <w:szCs w:val="24"/>
                <w:lang w:eastAsia="en-US"/>
              </w:rPr>
            </w:pPr>
            <w:r w:rsidRPr="009B34DB">
              <w:rPr>
                <w:b/>
                <w:sz w:val="24"/>
                <w:szCs w:val="24"/>
                <w:lang w:eastAsia="en-US"/>
              </w:rPr>
              <w:t>2020год</w:t>
            </w:r>
          </w:p>
        </w:tc>
        <w:tc>
          <w:tcPr>
            <w:tcW w:w="579" w:type="pct"/>
          </w:tcPr>
          <w:p w:rsidR="00BC0D16" w:rsidRPr="009B34DB" w:rsidRDefault="00BC0D16" w:rsidP="009B34DB">
            <w:pPr>
              <w:jc w:val="center"/>
              <w:rPr>
                <w:b/>
                <w:sz w:val="24"/>
                <w:szCs w:val="24"/>
                <w:lang w:eastAsia="en-US"/>
              </w:rPr>
            </w:pPr>
            <w:r w:rsidRPr="009B34DB">
              <w:rPr>
                <w:b/>
                <w:sz w:val="24"/>
                <w:szCs w:val="24"/>
                <w:lang w:eastAsia="en-US"/>
              </w:rPr>
              <w:t>2021год</w:t>
            </w:r>
          </w:p>
        </w:tc>
        <w:tc>
          <w:tcPr>
            <w:tcW w:w="514" w:type="pct"/>
          </w:tcPr>
          <w:p w:rsidR="00BC0D16" w:rsidRPr="009B34DB" w:rsidRDefault="00BC0D16" w:rsidP="009B34DB">
            <w:pPr>
              <w:jc w:val="center"/>
              <w:rPr>
                <w:b/>
                <w:sz w:val="24"/>
                <w:szCs w:val="24"/>
                <w:lang w:eastAsia="en-US"/>
              </w:rPr>
            </w:pPr>
            <w:r w:rsidRPr="009B34DB">
              <w:rPr>
                <w:b/>
                <w:sz w:val="24"/>
                <w:szCs w:val="24"/>
                <w:lang w:eastAsia="en-US"/>
              </w:rPr>
              <w:t>2022год</w:t>
            </w:r>
          </w:p>
        </w:tc>
        <w:tc>
          <w:tcPr>
            <w:tcW w:w="571" w:type="pct"/>
          </w:tcPr>
          <w:p w:rsidR="00BC0D16" w:rsidRPr="009B34DB" w:rsidRDefault="00BC0D16" w:rsidP="009B34DB">
            <w:pPr>
              <w:jc w:val="center"/>
              <w:rPr>
                <w:b/>
                <w:sz w:val="24"/>
                <w:szCs w:val="24"/>
                <w:lang w:eastAsia="en-US"/>
              </w:rPr>
            </w:pPr>
            <w:r w:rsidRPr="009B34DB">
              <w:rPr>
                <w:b/>
                <w:sz w:val="24"/>
                <w:szCs w:val="24"/>
                <w:lang w:eastAsia="en-US"/>
              </w:rPr>
              <w:t>2023год</w:t>
            </w:r>
          </w:p>
        </w:tc>
        <w:tc>
          <w:tcPr>
            <w:tcW w:w="533" w:type="pct"/>
          </w:tcPr>
          <w:p w:rsidR="00BC0D16" w:rsidRPr="009B34DB" w:rsidRDefault="00BC0D16" w:rsidP="009B34DB">
            <w:pPr>
              <w:jc w:val="center"/>
              <w:rPr>
                <w:b/>
                <w:sz w:val="24"/>
                <w:szCs w:val="24"/>
                <w:lang w:eastAsia="en-US"/>
              </w:rPr>
            </w:pPr>
            <w:r w:rsidRPr="009B34DB">
              <w:rPr>
                <w:b/>
                <w:sz w:val="24"/>
                <w:szCs w:val="24"/>
                <w:lang w:eastAsia="en-US"/>
              </w:rPr>
              <w:t>2024год</w:t>
            </w:r>
          </w:p>
        </w:tc>
        <w:tc>
          <w:tcPr>
            <w:tcW w:w="531" w:type="pct"/>
          </w:tcPr>
          <w:p w:rsidR="00BC0D16" w:rsidRPr="009B34DB" w:rsidRDefault="00BC0D16" w:rsidP="009B34DB">
            <w:pPr>
              <w:jc w:val="center"/>
              <w:rPr>
                <w:b/>
                <w:sz w:val="24"/>
                <w:szCs w:val="24"/>
                <w:lang w:eastAsia="en-US"/>
              </w:rPr>
            </w:pPr>
            <w:r w:rsidRPr="009B34DB">
              <w:rPr>
                <w:b/>
                <w:sz w:val="24"/>
                <w:szCs w:val="24"/>
                <w:lang w:eastAsia="en-US"/>
              </w:rPr>
              <w:t>2025год</w:t>
            </w:r>
          </w:p>
        </w:tc>
      </w:tr>
      <w:tr w:rsidR="00BC0D16" w:rsidRPr="009B34DB" w:rsidTr="00BD670B">
        <w:trPr>
          <w:trHeight w:val="848"/>
        </w:trPr>
        <w:tc>
          <w:tcPr>
            <w:tcW w:w="1177" w:type="pct"/>
            <w:vAlign w:val="center"/>
          </w:tcPr>
          <w:p w:rsidR="00BC0D16" w:rsidRPr="009B34DB" w:rsidRDefault="00BC0D16" w:rsidP="00BC0D16">
            <w:pPr>
              <w:rPr>
                <w:sz w:val="24"/>
                <w:szCs w:val="24"/>
                <w:lang w:eastAsia="en-US"/>
              </w:rPr>
            </w:pPr>
            <w:r w:rsidRPr="009B34DB">
              <w:rPr>
                <w:sz w:val="24"/>
                <w:szCs w:val="24"/>
                <w:lang w:eastAsia="en-US"/>
              </w:rPr>
              <w:lastRenderedPageBreak/>
              <w:t>Базовый вариант, добыча нефти</w:t>
            </w:r>
          </w:p>
          <w:p w:rsidR="00BC0D16" w:rsidRPr="009B34DB" w:rsidRDefault="00BC0D16" w:rsidP="00BC0D16">
            <w:pPr>
              <w:rPr>
                <w:sz w:val="24"/>
                <w:szCs w:val="24"/>
                <w:lang w:eastAsia="en-US"/>
              </w:rPr>
            </w:pPr>
            <w:r w:rsidRPr="009B34DB">
              <w:rPr>
                <w:sz w:val="24"/>
                <w:szCs w:val="24"/>
                <w:lang w:eastAsia="en-US"/>
              </w:rPr>
              <w:t>млн. тонн</w:t>
            </w:r>
          </w:p>
        </w:tc>
        <w:tc>
          <w:tcPr>
            <w:tcW w:w="582" w:type="pct"/>
            <w:vAlign w:val="center"/>
          </w:tcPr>
          <w:p w:rsidR="00BC0D16" w:rsidRPr="009B34DB" w:rsidRDefault="00BC0D16" w:rsidP="00BC0D16">
            <w:pPr>
              <w:rPr>
                <w:sz w:val="24"/>
                <w:szCs w:val="24"/>
                <w:lang w:eastAsia="en-US"/>
              </w:rPr>
            </w:pPr>
            <w:r w:rsidRPr="009B34DB">
              <w:rPr>
                <w:sz w:val="24"/>
                <w:szCs w:val="24"/>
                <w:lang w:eastAsia="en-US"/>
              </w:rPr>
              <w:t>49,1</w:t>
            </w:r>
          </w:p>
        </w:tc>
        <w:tc>
          <w:tcPr>
            <w:tcW w:w="514" w:type="pct"/>
            <w:vAlign w:val="center"/>
          </w:tcPr>
          <w:p w:rsidR="00BC0D16" w:rsidRPr="009B34DB" w:rsidRDefault="00BC0D16" w:rsidP="00BC0D16">
            <w:pPr>
              <w:rPr>
                <w:sz w:val="24"/>
                <w:szCs w:val="24"/>
                <w:lang w:eastAsia="en-US"/>
              </w:rPr>
            </w:pPr>
            <w:r w:rsidRPr="009B34DB">
              <w:rPr>
                <w:sz w:val="24"/>
                <w:szCs w:val="24"/>
                <w:lang w:eastAsia="en-US"/>
              </w:rPr>
              <w:t>48,3</w:t>
            </w:r>
          </w:p>
        </w:tc>
        <w:tc>
          <w:tcPr>
            <w:tcW w:w="579" w:type="pct"/>
            <w:vAlign w:val="center"/>
          </w:tcPr>
          <w:p w:rsidR="00BC0D16" w:rsidRPr="009B34DB" w:rsidRDefault="00BC0D16" w:rsidP="00BC0D16">
            <w:pPr>
              <w:rPr>
                <w:sz w:val="24"/>
                <w:szCs w:val="24"/>
                <w:lang w:eastAsia="en-US"/>
              </w:rPr>
            </w:pPr>
            <w:r w:rsidRPr="009B34DB">
              <w:rPr>
                <w:sz w:val="24"/>
                <w:szCs w:val="24"/>
                <w:lang w:eastAsia="en-US"/>
              </w:rPr>
              <w:t>47,5</w:t>
            </w:r>
          </w:p>
        </w:tc>
        <w:tc>
          <w:tcPr>
            <w:tcW w:w="514" w:type="pct"/>
            <w:vAlign w:val="center"/>
          </w:tcPr>
          <w:p w:rsidR="00BC0D16" w:rsidRPr="009B34DB" w:rsidRDefault="00BC0D16" w:rsidP="00BC0D16">
            <w:pPr>
              <w:rPr>
                <w:sz w:val="24"/>
                <w:szCs w:val="24"/>
                <w:lang w:eastAsia="en-US"/>
              </w:rPr>
            </w:pPr>
            <w:r w:rsidRPr="009B34DB">
              <w:rPr>
                <w:sz w:val="24"/>
                <w:szCs w:val="24"/>
                <w:lang w:eastAsia="en-US"/>
              </w:rPr>
              <w:t>47,5</w:t>
            </w:r>
          </w:p>
        </w:tc>
        <w:tc>
          <w:tcPr>
            <w:tcW w:w="571" w:type="pct"/>
            <w:vAlign w:val="center"/>
          </w:tcPr>
          <w:p w:rsidR="00BC0D16" w:rsidRPr="009B34DB" w:rsidRDefault="00BC0D16" w:rsidP="00BC0D16">
            <w:pPr>
              <w:rPr>
                <w:sz w:val="24"/>
                <w:szCs w:val="24"/>
                <w:lang w:eastAsia="en-US"/>
              </w:rPr>
            </w:pPr>
            <w:r w:rsidRPr="009B34DB">
              <w:rPr>
                <w:sz w:val="24"/>
                <w:szCs w:val="24"/>
                <w:lang w:eastAsia="en-US"/>
              </w:rPr>
              <w:t>46,7</w:t>
            </w:r>
          </w:p>
        </w:tc>
        <w:tc>
          <w:tcPr>
            <w:tcW w:w="533" w:type="pct"/>
            <w:vAlign w:val="center"/>
          </w:tcPr>
          <w:p w:rsidR="00BC0D16" w:rsidRPr="009B34DB" w:rsidRDefault="00BC0D16" w:rsidP="00BC0D16">
            <w:pPr>
              <w:rPr>
                <w:sz w:val="24"/>
                <w:szCs w:val="24"/>
                <w:lang w:eastAsia="en-US"/>
              </w:rPr>
            </w:pPr>
            <w:r w:rsidRPr="009B34DB">
              <w:rPr>
                <w:sz w:val="24"/>
                <w:szCs w:val="24"/>
                <w:lang w:eastAsia="en-US"/>
              </w:rPr>
              <w:t>45,9</w:t>
            </w:r>
          </w:p>
        </w:tc>
        <w:tc>
          <w:tcPr>
            <w:tcW w:w="531" w:type="pct"/>
            <w:vAlign w:val="center"/>
          </w:tcPr>
          <w:p w:rsidR="00BC0D16" w:rsidRPr="009B34DB" w:rsidRDefault="00BC0D16" w:rsidP="00BC0D16">
            <w:pPr>
              <w:rPr>
                <w:sz w:val="24"/>
                <w:szCs w:val="24"/>
                <w:lang w:eastAsia="en-US"/>
              </w:rPr>
            </w:pPr>
            <w:r w:rsidRPr="009B34DB">
              <w:rPr>
                <w:sz w:val="24"/>
                <w:szCs w:val="24"/>
                <w:lang w:eastAsia="en-US"/>
              </w:rPr>
              <w:t>45,2</w:t>
            </w:r>
          </w:p>
        </w:tc>
      </w:tr>
      <w:tr w:rsidR="00BC0D16" w:rsidRPr="009B34DB" w:rsidTr="00BD670B">
        <w:trPr>
          <w:trHeight w:val="833"/>
        </w:trPr>
        <w:tc>
          <w:tcPr>
            <w:tcW w:w="1177" w:type="pct"/>
            <w:vAlign w:val="center"/>
          </w:tcPr>
          <w:p w:rsidR="00BC0D16" w:rsidRPr="009B34DB" w:rsidRDefault="00BC0D16" w:rsidP="009B34DB">
            <w:pPr>
              <w:rPr>
                <w:sz w:val="24"/>
                <w:szCs w:val="24"/>
                <w:lang w:eastAsia="en-US"/>
              </w:rPr>
            </w:pPr>
            <w:r w:rsidRPr="009B34DB">
              <w:rPr>
                <w:sz w:val="24"/>
                <w:szCs w:val="24"/>
                <w:lang w:eastAsia="en-US"/>
              </w:rPr>
              <w:t>Базовый вариант, добыча газа млрд.</w:t>
            </w:r>
            <w:r w:rsidR="009B34DB">
              <w:rPr>
                <w:sz w:val="24"/>
                <w:szCs w:val="24"/>
                <w:lang w:eastAsia="en-US"/>
              </w:rPr>
              <w:t xml:space="preserve"> </w:t>
            </w:r>
            <w:r w:rsidRPr="009B34DB">
              <w:rPr>
                <w:sz w:val="24"/>
                <w:szCs w:val="24"/>
                <w:lang w:eastAsia="en-US"/>
              </w:rPr>
              <w:t>м</w:t>
            </w:r>
            <w:r w:rsidR="009B34DB">
              <w:rPr>
                <w:sz w:val="24"/>
                <w:szCs w:val="24"/>
                <w:lang w:eastAsia="en-US"/>
              </w:rPr>
              <w:t xml:space="preserve"> </w:t>
            </w:r>
            <w:r w:rsidRPr="009B34DB">
              <w:rPr>
                <w:sz w:val="24"/>
                <w:szCs w:val="24"/>
                <w:lang w:eastAsia="en-US"/>
              </w:rPr>
              <w:t>куб.</w:t>
            </w:r>
          </w:p>
        </w:tc>
        <w:tc>
          <w:tcPr>
            <w:tcW w:w="582" w:type="pct"/>
            <w:vAlign w:val="center"/>
          </w:tcPr>
          <w:p w:rsidR="00BC0D16" w:rsidRPr="009B34DB" w:rsidRDefault="00BC0D16" w:rsidP="00BC0D16">
            <w:pPr>
              <w:rPr>
                <w:sz w:val="24"/>
                <w:szCs w:val="24"/>
                <w:lang w:eastAsia="en-US"/>
              </w:rPr>
            </w:pPr>
            <w:r w:rsidRPr="009B34DB">
              <w:rPr>
                <w:sz w:val="24"/>
                <w:szCs w:val="24"/>
                <w:lang w:eastAsia="en-US"/>
              </w:rPr>
              <w:t>13,313</w:t>
            </w:r>
          </w:p>
        </w:tc>
        <w:tc>
          <w:tcPr>
            <w:tcW w:w="514" w:type="pct"/>
            <w:vAlign w:val="center"/>
          </w:tcPr>
          <w:p w:rsidR="00BC0D16" w:rsidRPr="009B34DB" w:rsidRDefault="00BC0D16" w:rsidP="00BC0D16">
            <w:pPr>
              <w:rPr>
                <w:sz w:val="24"/>
                <w:szCs w:val="24"/>
                <w:lang w:eastAsia="en-US"/>
              </w:rPr>
            </w:pPr>
            <w:r w:rsidRPr="009B34DB">
              <w:rPr>
                <w:sz w:val="24"/>
                <w:szCs w:val="24"/>
                <w:lang w:eastAsia="en-US"/>
              </w:rPr>
              <w:t>13,084</w:t>
            </w:r>
          </w:p>
        </w:tc>
        <w:tc>
          <w:tcPr>
            <w:tcW w:w="579" w:type="pct"/>
            <w:vAlign w:val="center"/>
          </w:tcPr>
          <w:p w:rsidR="00BC0D16" w:rsidRPr="009B34DB" w:rsidRDefault="00BC0D16" w:rsidP="00BC0D16">
            <w:pPr>
              <w:rPr>
                <w:sz w:val="24"/>
                <w:szCs w:val="24"/>
                <w:lang w:eastAsia="en-US"/>
              </w:rPr>
            </w:pPr>
            <w:r w:rsidRPr="009B34DB">
              <w:rPr>
                <w:sz w:val="24"/>
                <w:szCs w:val="24"/>
                <w:lang w:eastAsia="en-US"/>
              </w:rPr>
              <w:t>12,874</w:t>
            </w:r>
          </w:p>
        </w:tc>
        <w:tc>
          <w:tcPr>
            <w:tcW w:w="514" w:type="pct"/>
            <w:vAlign w:val="center"/>
          </w:tcPr>
          <w:p w:rsidR="00BC0D16" w:rsidRPr="009B34DB" w:rsidRDefault="00BC0D16" w:rsidP="00BC0D16">
            <w:pPr>
              <w:rPr>
                <w:sz w:val="24"/>
                <w:szCs w:val="24"/>
                <w:lang w:eastAsia="en-US"/>
              </w:rPr>
            </w:pPr>
            <w:r w:rsidRPr="009B34DB">
              <w:rPr>
                <w:sz w:val="24"/>
                <w:szCs w:val="24"/>
                <w:lang w:eastAsia="en-US"/>
              </w:rPr>
              <w:t>12,874</w:t>
            </w:r>
          </w:p>
        </w:tc>
        <w:tc>
          <w:tcPr>
            <w:tcW w:w="571" w:type="pct"/>
            <w:vAlign w:val="center"/>
          </w:tcPr>
          <w:p w:rsidR="00BC0D16" w:rsidRPr="009B34DB" w:rsidRDefault="00BC0D16" w:rsidP="00BC0D16">
            <w:pPr>
              <w:rPr>
                <w:sz w:val="24"/>
                <w:szCs w:val="24"/>
                <w:lang w:eastAsia="en-US"/>
              </w:rPr>
            </w:pPr>
            <w:r w:rsidRPr="009B34DB">
              <w:rPr>
                <w:sz w:val="24"/>
                <w:szCs w:val="24"/>
                <w:lang w:eastAsia="en-US"/>
              </w:rPr>
              <w:t>12,623</w:t>
            </w:r>
          </w:p>
        </w:tc>
        <w:tc>
          <w:tcPr>
            <w:tcW w:w="533" w:type="pct"/>
            <w:vAlign w:val="center"/>
          </w:tcPr>
          <w:p w:rsidR="00BC0D16" w:rsidRPr="009B34DB" w:rsidRDefault="00BC0D16" w:rsidP="00BC0D16">
            <w:pPr>
              <w:rPr>
                <w:sz w:val="24"/>
                <w:szCs w:val="24"/>
                <w:lang w:eastAsia="en-US"/>
              </w:rPr>
            </w:pPr>
            <w:r w:rsidRPr="009B34DB">
              <w:rPr>
                <w:sz w:val="24"/>
                <w:szCs w:val="24"/>
                <w:lang w:eastAsia="en-US"/>
              </w:rPr>
              <w:t>12,404</w:t>
            </w:r>
          </w:p>
        </w:tc>
        <w:tc>
          <w:tcPr>
            <w:tcW w:w="531" w:type="pct"/>
            <w:vAlign w:val="center"/>
          </w:tcPr>
          <w:p w:rsidR="00BC0D16" w:rsidRPr="009B34DB" w:rsidRDefault="00BC0D16" w:rsidP="00BC0D16">
            <w:pPr>
              <w:rPr>
                <w:sz w:val="24"/>
                <w:szCs w:val="24"/>
                <w:lang w:eastAsia="en-US"/>
              </w:rPr>
            </w:pPr>
            <w:r w:rsidRPr="009B34DB">
              <w:rPr>
                <w:sz w:val="24"/>
                <w:szCs w:val="24"/>
                <w:lang w:eastAsia="en-US"/>
              </w:rPr>
              <w:t>12,200</w:t>
            </w:r>
          </w:p>
        </w:tc>
      </w:tr>
    </w:tbl>
    <w:p w:rsidR="00BC0D16" w:rsidRPr="00BC0D16" w:rsidRDefault="00BC0D16" w:rsidP="00BC0D16"/>
    <w:p w:rsidR="00BC0D16" w:rsidRPr="00BC0D16" w:rsidRDefault="00BC0D16" w:rsidP="00C3344F">
      <w:pPr>
        <w:ind w:firstLine="709"/>
        <w:jc w:val="both"/>
      </w:pPr>
      <w:r w:rsidRPr="00BC0D16">
        <w:t xml:space="preserve">В 2025 году снижение по базовому варианту по добыче нефти составит 7,4% к 2018 году, газа – 13,4% к 2018 году. </w:t>
      </w:r>
    </w:p>
    <w:p w:rsidR="00BC0D16" w:rsidRPr="009B34DB" w:rsidRDefault="009B34DB" w:rsidP="00C3344F">
      <w:pPr>
        <w:ind w:firstLine="709"/>
        <w:jc w:val="both"/>
        <w:rPr>
          <w:lang w:eastAsia="x-none"/>
        </w:rPr>
      </w:pPr>
      <w:r>
        <w:rPr>
          <w:lang w:eastAsia="x-none"/>
        </w:rPr>
        <w:t xml:space="preserve">1.2. </w:t>
      </w:r>
      <w:r w:rsidR="00BC0D16" w:rsidRPr="00BC0D16">
        <w:rPr>
          <w:lang w:val="x-none" w:eastAsia="x-none"/>
        </w:rPr>
        <w:t>Обрабатывающие производства</w:t>
      </w:r>
      <w:r>
        <w:rPr>
          <w:lang w:eastAsia="x-none"/>
        </w:rPr>
        <w:t>.</w:t>
      </w:r>
    </w:p>
    <w:p w:rsidR="00BC0D16" w:rsidRPr="00BC0D16" w:rsidRDefault="00BC0D16" w:rsidP="00C3344F">
      <w:pPr>
        <w:ind w:firstLine="709"/>
        <w:jc w:val="both"/>
        <w:rPr>
          <w:lang w:val="x-none" w:eastAsia="x-none"/>
        </w:rPr>
      </w:pPr>
      <w:r w:rsidRPr="00BC0D16">
        <w:rPr>
          <w:lang w:val="x-none" w:eastAsia="x-none"/>
        </w:rPr>
        <w:t xml:space="preserve">В области обрабатывающих производств объем отгруженных товаров собственного производства, выполненных работ и услуг собственными силами </w:t>
      </w:r>
      <w:r w:rsidR="009B34DB">
        <w:rPr>
          <w:lang w:eastAsia="x-none"/>
        </w:rPr>
        <w:t xml:space="preserve"> </w:t>
      </w:r>
      <w:r w:rsidRPr="00BC0D16">
        <w:rPr>
          <w:lang w:val="x-none" w:eastAsia="x-none"/>
        </w:rPr>
        <w:t>в 2018 году составил 12590,8 млн. рублей, в  2019 году прогнозируется в объеме  –</w:t>
      </w:r>
      <w:r w:rsidR="009B34DB">
        <w:rPr>
          <w:lang w:eastAsia="x-none"/>
        </w:rPr>
        <w:t xml:space="preserve"> </w:t>
      </w:r>
      <w:r w:rsidRPr="00BC0D16">
        <w:rPr>
          <w:lang w:val="x-none" w:eastAsia="x-none"/>
        </w:rPr>
        <w:t>13114,0 млн. рублей, индекс производства – 100,0%.</w:t>
      </w:r>
    </w:p>
    <w:p w:rsidR="00BC0D16" w:rsidRPr="00BC0D16" w:rsidRDefault="00BC0D16" w:rsidP="00C3344F">
      <w:pPr>
        <w:ind w:firstLine="709"/>
        <w:jc w:val="both"/>
        <w:rPr>
          <w:lang w:val="x-none" w:eastAsia="x-none"/>
        </w:rPr>
      </w:pPr>
      <w:r w:rsidRPr="00BC0D16">
        <w:rPr>
          <w:lang w:val="x-none" w:eastAsia="x-none"/>
        </w:rPr>
        <w:t xml:space="preserve">В структуре обрабатывающих производств по итогам 2018 года наибольшая доля прогнозируется в «производстве кокса и нефтепродуктов»,  «ремонте и монтаже машин и оборудования». </w:t>
      </w:r>
    </w:p>
    <w:p w:rsidR="00BC0D16" w:rsidRPr="00BC0D16" w:rsidRDefault="00BC0D16" w:rsidP="00C3344F">
      <w:pPr>
        <w:ind w:firstLine="709"/>
        <w:jc w:val="both"/>
        <w:rPr>
          <w:lang w:val="x-none" w:eastAsia="x-none"/>
        </w:rPr>
      </w:pPr>
      <w:r w:rsidRPr="00BC0D16">
        <w:rPr>
          <w:lang w:val="x-none" w:eastAsia="x-none"/>
        </w:rPr>
        <w:t>Наибольший удельный вес в производстве пищевых продуктов приходится на выпечку хлеба, хлебобулочных изделий и рыбную продукцию.</w:t>
      </w:r>
    </w:p>
    <w:p w:rsidR="00BC0D16" w:rsidRPr="00BC0D16" w:rsidRDefault="00BC0D16" w:rsidP="00C3344F">
      <w:pPr>
        <w:ind w:firstLine="709"/>
        <w:jc w:val="both"/>
        <w:rPr>
          <w:lang w:val="x-none" w:eastAsia="x-none"/>
        </w:rPr>
      </w:pPr>
      <w:r w:rsidRPr="00BC0D16">
        <w:rPr>
          <w:lang w:val="x-none" w:eastAsia="x-none"/>
        </w:rPr>
        <w:t xml:space="preserve">Лесная и деревообрабатывающая промышленность района охвачена субъектами малого и среднего бизнеса, осуществляющими производство пиломатериалов и деловой древесины.   </w:t>
      </w:r>
    </w:p>
    <w:p w:rsidR="00BC0D16" w:rsidRPr="00BC0D16" w:rsidRDefault="00BC0D16" w:rsidP="00C3344F">
      <w:pPr>
        <w:ind w:firstLine="709"/>
        <w:jc w:val="both"/>
        <w:rPr>
          <w:lang w:val="x-none" w:eastAsia="x-none"/>
        </w:rPr>
      </w:pPr>
      <w:r w:rsidRPr="00BC0D16">
        <w:rPr>
          <w:lang w:val="x-none" w:eastAsia="x-none"/>
        </w:rPr>
        <w:t>В прогнозном периоде объем отгруженных товаров по отрасли «Обрабатывающие производства»  по базовому варианту составит: 2020 год – 13253,0 млн.</w:t>
      </w:r>
      <w:r w:rsidR="009B34DB">
        <w:rPr>
          <w:lang w:eastAsia="x-none"/>
        </w:rPr>
        <w:t xml:space="preserve"> </w:t>
      </w:r>
      <w:r w:rsidRPr="00BC0D16">
        <w:rPr>
          <w:lang w:val="x-none" w:eastAsia="x-none"/>
        </w:rPr>
        <w:t>руб., 2021</w:t>
      </w:r>
      <w:r w:rsidR="009B34DB">
        <w:rPr>
          <w:lang w:eastAsia="x-none"/>
        </w:rPr>
        <w:t xml:space="preserve"> </w:t>
      </w:r>
      <w:r w:rsidRPr="00BC0D16">
        <w:rPr>
          <w:lang w:val="x-none" w:eastAsia="x-none"/>
        </w:rPr>
        <w:t>год – 13434,5 млн.</w:t>
      </w:r>
      <w:r w:rsidR="009B34DB">
        <w:rPr>
          <w:lang w:eastAsia="x-none"/>
        </w:rPr>
        <w:t xml:space="preserve"> </w:t>
      </w:r>
      <w:r w:rsidRPr="00BC0D16">
        <w:rPr>
          <w:lang w:val="x-none" w:eastAsia="x-none"/>
        </w:rPr>
        <w:t xml:space="preserve">руб., 2022 год  </w:t>
      </w:r>
      <w:r w:rsidR="009B34DB">
        <w:rPr>
          <w:lang w:val="x-none" w:eastAsia="x-none"/>
        </w:rPr>
        <w:t>−</w:t>
      </w:r>
      <w:r w:rsidRPr="00BC0D16">
        <w:rPr>
          <w:lang w:val="x-none" w:eastAsia="x-none"/>
        </w:rPr>
        <w:t xml:space="preserve"> 13771,7 млн.</w:t>
      </w:r>
      <w:r w:rsidR="009B34DB">
        <w:rPr>
          <w:lang w:eastAsia="x-none"/>
        </w:rPr>
        <w:t xml:space="preserve"> </w:t>
      </w:r>
      <w:r w:rsidRPr="00BC0D16">
        <w:rPr>
          <w:lang w:val="x-none" w:eastAsia="x-none"/>
        </w:rPr>
        <w:t xml:space="preserve">руб. , 2023 год </w:t>
      </w:r>
      <w:r w:rsidR="009B34DB">
        <w:rPr>
          <w:lang w:val="x-none" w:eastAsia="x-none"/>
        </w:rPr>
        <w:t>−</w:t>
      </w:r>
      <w:r w:rsidRPr="00BC0D16">
        <w:rPr>
          <w:lang w:val="x-none" w:eastAsia="x-none"/>
        </w:rPr>
        <w:t xml:space="preserve"> 14129,8 млн.</w:t>
      </w:r>
      <w:r w:rsidR="009B34DB">
        <w:rPr>
          <w:lang w:eastAsia="x-none"/>
        </w:rPr>
        <w:t xml:space="preserve"> </w:t>
      </w:r>
      <w:proofErr w:type="spellStart"/>
      <w:r w:rsidRPr="00BC0D16">
        <w:rPr>
          <w:lang w:val="x-none" w:eastAsia="x-none"/>
        </w:rPr>
        <w:t>руб</w:t>
      </w:r>
      <w:proofErr w:type="spellEnd"/>
      <w:r w:rsidRPr="00BC0D16">
        <w:rPr>
          <w:lang w:val="x-none" w:eastAsia="x-none"/>
        </w:rPr>
        <w:t xml:space="preserve">, 2024 год </w:t>
      </w:r>
      <w:r w:rsidR="009B34DB">
        <w:rPr>
          <w:lang w:val="x-none" w:eastAsia="x-none"/>
        </w:rPr>
        <w:t>−</w:t>
      </w:r>
      <w:r w:rsidR="009B34DB">
        <w:rPr>
          <w:lang w:eastAsia="x-none"/>
        </w:rPr>
        <w:t xml:space="preserve"> </w:t>
      </w:r>
      <w:r w:rsidRPr="00BC0D16">
        <w:rPr>
          <w:lang w:val="x-none" w:eastAsia="x-none"/>
        </w:rPr>
        <w:t>14511,3 млн.</w:t>
      </w:r>
      <w:r w:rsidR="009B34DB">
        <w:rPr>
          <w:lang w:eastAsia="x-none"/>
        </w:rPr>
        <w:t xml:space="preserve"> </w:t>
      </w:r>
      <w:r w:rsidRPr="00BC0D16">
        <w:rPr>
          <w:lang w:val="x-none" w:eastAsia="x-none"/>
        </w:rPr>
        <w:t>руб.</w:t>
      </w:r>
      <w:r w:rsidRPr="00BC0D16">
        <w:rPr>
          <w:lang w:eastAsia="x-none"/>
        </w:rPr>
        <w:t>, 2025 год – 14903,1 млн.</w:t>
      </w:r>
      <w:r w:rsidR="009B34DB">
        <w:rPr>
          <w:lang w:eastAsia="x-none"/>
        </w:rPr>
        <w:t xml:space="preserve"> </w:t>
      </w:r>
      <w:r w:rsidRPr="00BC0D16">
        <w:rPr>
          <w:lang w:eastAsia="x-none"/>
        </w:rPr>
        <w:t>руб.</w:t>
      </w:r>
      <w:r w:rsidRPr="00BC0D16">
        <w:rPr>
          <w:lang w:val="x-none" w:eastAsia="x-none"/>
        </w:rPr>
        <w:t xml:space="preserve"> В 202</w:t>
      </w:r>
      <w:r w:rsidRPr="00BC0D16">
        <w:rPr>
          <w:lang w:eastAsia="x-none"/>
        </w:rPr>
        <w:t>5</w:t>
      </w:r>
      <w:r w:rsidRPr="00BC0D16">
        <w:rPr>
          <w:lang w:val="x-none" w:eastAsia="x-none"/>
        </w:rPr>
        <w:t xml:space="preserve"> году рост объема отгруженных товаров обрабатывающих производств по базовому варианту составит </w:t>
      </w:r>
      <w:r w:rsidRPr="00BC0D16">
        <w:rPr>
          <w:lang w:eastAsia="x-none"/>
        </w:rPr>
        <w:t>118</w:t>
      </w:r>
      <w:r w:rsidRPr="00BC0D16">
        <w:rPr>
          <w:lang w:val="x-none" w:eastAsia="x-none"/>
        </w:rPr>
        <w:t>,</w:t>
      </w:r>
      <w:r w:rsidRPr="00BC0D16">
        <w:rPr>
          <w:lang w:eastAsia="x-none"/>
        </w:rPr>
        <w:t>3</w:t>
      </w:r>
      <w:r w:rsidRPr="00BC0D16">
        <w:rPr>
          <w:lang w:val="x-none" w:eastAsia="x-none"/>
        </w:rPr>
        <w:t xml:space="preserve">% к 2018 году. </w:t>
      </w:r>
    </w:p>
    <w:p w:rsidR="00BC0D16" w:rsidRPr="009B34DB" w:rsidRDefault="009B34DB" w:rsidP="009B34DB">
      <w:pPr>
        <w:ind w:firstLine="709"/>
        <w:jc w:val="both"/>
        <w:rPr>
          <w:lang w:eastAsia="x-none"/>
        </w:rPr>
      </w:pPr>
      <w:r>
        <w:rPr>
          <w:lang w:eastAsia="x-none"/>
        </w:rPr>
        <w:t xml:space="preserve">1.3. </w:t>
      </w:r>
      <w:r w:rsidR="00BC0D16" w:rsidRPr="00BC0D16">
        <w:rPr>
          <w:lang w:val="x-none" w:eastAsia="x-none"/>
        </w:rPr>
        <w:t>Обеспечение электроэнергией</w:t>
      </w:r>
      <w:r>
        <w:rPr>
          <w:lang w:eastAsia="x-none"/>
        </w:rPr>
        <w:t>.</w:t>
      </w:r>
    </w:p>
    <w:p w:rsidR="00BC0D16" w:rsidRPr="00BC0D16" w:rsidRDefault="00BC0D16" w:rsidP="009B34DB">
      <w:pPr>
        <w:ind w:firstLine="709"/>
        <w:jc w:val="both"/>
        <w:rPr>
          <w:lang w:val="x-none" w:eastAsia="x-none"/>
        </w:rPr>
      </w:pPr>
      <w:r w:rsidRPr="00BC0D16">
        <w:rPr>
          <w:lang w:val="x-none" w:eastAsia="x-none"/>
        </w:rPr>
        <w:t xml:space="preserve">По виду экономической деятельности «Обеспечение электроэнергией» </w:t>
      </w:r>
      <w:r w:rsidR="009B34DB">
        <w:rPr>
          <w:lang w:eastAsia="x-none"/>
        </w:rPr>
        <w:t xml:space="preserve">                </w:t>
      </w:r>
      <w:r w:rsidRPr="00BC0D16">
        <w:rPr>
          <w:lang w:val="x-none" w:eastAsia="x-none"/>
        </w:rPr>
        <w:t>в  2018 году отгружено продукции, работ и услуг в объеме 20 812,7 млн. рублей. За 2018 год на территории района произведено электроэнергии по полному кругу производителей – 13,8</w:t>
      </w:r>
      <w:r w:rsidRPr="00BC0D16">
        <w:rPr>
          <w:lang w:eastAsia="x-none"/>
        </w:rPr>
        <w:t>4</w:t>
      </w:r>
      <w:r w:rsidRPr="00BC0D16">
        <w:rPr>
          <w:lang w:val="x-none" w:eastAsia="x-none"/>
        </w:rPr>
        <w:t xml:space="preserve"> млрд. кВт.</w:t>
      </w:r>
      <w:r w:rsidR="009B34DB">
        <w:rPr>
          <w:lang w:eastAsia="x-none"/>
        </w:rPr>
        <w:t xml:space="preserve"> </w:t>
      </w:r>
      <w:r w:rsidR="009B34DB" w:rsidRPr="00BC0D16">
        <w:rPr>
          <w:lang w:val="x-none" w:eastAsia="x-none"/>
        </w:rPr>
        <w:t>Ч</w:t>
      </w:r>
      <w:r w:rsidR="009B34DB">
        <w:rPr>
          <w:lang w:eastAsia="x-none"/>
        </w:rPr>
        <w:t>,</w:t>
      </w:r>
      <w:r w:rsidRPr="00BC0D16">
        <w:rPr>
          <w:lang w:val="x-none" w:eastAsia="x-none"/>
        </w:rPr>
        <w:t xml:space="preserve"> или 104,</w:t>
      </w:r>
      <w:r w:rsidRPr="00BC0D16">
        <w:rPr>
          <w:lang w:eastAsia="x-none"/>
        </w:rPr>
        <w:t>7</w:t>
      </w:r>
      <w:r w:rsidRPr="00BC0D16">
        <w:rPr>
          <w:lang w:val="x-none" w:eastAsia="x-none"/>
        </w:rPr>
        <w:t>% к уровню предыдущего года. Основную долю производства электроэнергии на территории района (93,</w:t>
      </w:r>
      <w:r w:rsidRPr="00BC0D16">
        <w:rPr>
          <w:lang w:eastAsia="x-none"/>
        </w:rPr>
        <w:t>6</w:t>
      </w:r>
      <w:r w:rsidRPr="00BC0D16">
        <w:rPr>
          <w:lang w:val="x-none" w:eastAsia="x-none"/>
        </w:rPr>
        <w:t xml:space="preserve">%) обеспечивает электростанция общего пользования </w:t>
      </w:r>
      <w:r w:rsidR="009B34DB">
        <w:rPr>
          <w:lang w:val="x-none" w:eastAsia="x-none"/>
        </w:rPr>
        <w:t>−</w:t>
      </w:r>
      <w:r w:rsidRPr="00BC0D16">
        <w:rPr>
          <w:lang w:val="x-none" w:eastAsia="x-none"/>
        </w:rPr>
        <w:t xml:space="preserve"> </w:t>
      </w:r>
      <w:proofErr w:type="spellStart"/>
      <w:r w:rsidRPr="00BC0D16">
        <w:rPr>
          <w:lang w:val="x-none" w:eastAsia="x-none"/>
        </w:rPr>
        <w:t>Нижневартовская</w:t>
      </w:r>
      <w:proofErr w:type="spellEnd"/>
      <w:r w:rsidRPr="00BC0D16">
        <w:rPr>
          <w:lang w:val="x-none" w:eastAsia="x-none"/>
        </w:rPr>
        <w:t xml:space="preserve"> ГРЭС.</w:t>
      </w:r>
    </w:p>
    <w:p w:rsidR="00BC0D16" w:rsidRPr="00BC0D16" w:rsidRDefault="00BC0D16" w:rsidP="009B34DB">
      <w:pPr>
        <w:ind w:firstLine="709"/>
        <w:jc w:val="both"/>
        <w:rPr>
          <w:lang w:val="x-none" w:eastAsia="x-none"/>
        </w:rPr>
      </w:pPr>
      <w:r w:rsidRPr="00BC0D16">
        <w:rPr>
          <w:lang w:val="x-none" w:eastAsia="x-none"/>
        </w:rPr>
        <w:t>На месторождениях района производство электроэнергии для собственных нужд нефтегазодобывающими предприятиями обеспечивается за счет автономных электростанций, это 6,</w:t>
      </w:r>
      <w:r w:rsidRPr="00BC0D16">
        <w:rPr>
          <w:lang w:eastAsia="x-none"/>
        </w:rPr>
        <w:t>4</w:t>
      </w:r>
      <w:r w:rsidRPr="00BC0D16">
        <w:rPr>
          <w:lang w:val="x-none" w:eastAsia="x-none"/>
        </w:rPr>
        <w:t>% от общего объема производства электроэнергии в районе.</w:t>
      </w:r>
    </w:p>
    <w:p w:rsidR="00BC0D16" w:rsidRPr="00BC0D16" w:rsidRDefault="00BC0D16" w:rsidP="009B34DB">
      <w:pPr>
        <w:ind w:firstLine="709"/>
        <w:jc w:val="both"/>
        <w:rPr>
          <w:lang w:val="x-none" w:eastAsia="x-none"/>
        </w:rPr>
      </w:pPr>
      <w:r w:rsidRPr="00BC0D16">
        <w:rPr>
          <w:lang w:val="x-none" w:eastAsia="x-none"/>
        </w:rPr>
        <w:t xml:space="preserve">По оценке в 2019 году </w:t>
      </w:r>
      <w:r w:rsidRPr="00BC0D16">
        <w:rPr>
          <w:lang w:eastAsia="x-none"/>
        </w:rPr>
        <w:t>производство</w:t>
      </w:r>
      <w:r w:rsidRPr="00BC0D16">
        <w:rPr>
          <w:lang w:val="x-none" w:eastAsia="x-none"/>
        </w:rPr>
        <w:t xml:space="preserve"> электроэнерги</w:t>
      </w:r>
      <w:r w:rsidRPr="00BC0D16">
        <w:rPr>
          <w:lang w:eastAsia="x-none"/>
        </w:rPr>
        <w:t>и</w:t>
      </w:r>
      <w:r w:rsidRPr="00BC0D16">
        <w:rPr>
          <w:lang w:val="x-none" w:eastAsia="x-none"/>
        </w:rPr>
        <w:t xml:space="preserve"> в районе составит 13,23млрд. кВт.</w:t>
      </w:r>
      <w:r w:rsidR="009B34DB">
        <w:rPr>
          <w:lang w:eastAsia="x-none"/>
        </w:rPr>
        <w:t xml:space="preserve"> </w:t>
      </w:r>
      <w:r w:rsidRPr="00BC0D16">
        <w:rPr>
          <w:lang w:val="x-none" w:eastAsia="x-none"/>
        </w:rPr>
        <w:t>ч</w:t>
      </w:r>
      <w:r w:rsidRPr="00BC0D16">
        <w:rPr>
          <w:lang w:eastAsia="x-none"/>
        </w:rPr>
        <w:t xml:space="preserve">, </w:t>
      </w:r>
      <w:r w:rsidRPr="00BC0D16">
        <w:rPr>
          <w:lang w:val="x-none" w:eastAsia="x-none"/>
        </w:rPr>
        <w:t xml:space="preserve">объем отгруженных товаров оценивается в 20 958,4 млн. рублей. Уменьшение темпов производства в 2019 году связано проведением текущего ремонта энергоблоков </w:t>
      </w:r>
      <w:proofErr w:type="spellStart"/>
      <w:r w:rsidRPr="00BC0D16">
        <w:rPr>
          <w:lang w:val="x-none" w:eastAsia="x-none"/>
        </w:rPr>
        <w:t>Нижневартовской</w:t>
      </w:r>
      <w:proofErr w:type="spellEnd"/>
      <w:r w:rsidRPr="00BC0D16">
        <w:rPr>
          <w:lang w:val="x-none" w:eastAsia="x-none"/>
        </w:rPr>
        <w:t xml:space="preserve"> ГРЭС. </w:t>
      </w:r>
    </w:p>
    <w:p w:rsidR="00BC0D16" w:rsidRPr="00BC0D16" w:rsidRDefault="00BC0D16" w:rsidP="009B34DB">
      <w:pPr>
        <w:ind w:firstLine="709"/>
        <w:jc w:val="both"/>
        <w:rPr>
          <w:lang w:val="x-none" w:eastAsia="x-none"/>
        </w:rPr>
      </w:pPr>
      <w:r w:rsidRPr="00BC0D16">
        <w:rPr>
          <w:lang w:val="x-none" w:eastAsia="x-none"/>
        </w:rPr>
        <w:lastRenderedPageBreak/>
        <w:t>В плановом периоде объем отгруженных товаров по отрасли «Обеспечение  электроэнергией» по базовому варианту составит: 2020  год –</w:t>
      </w:r>
      <w:r w:rsidR="009B34DB">
        <w:rPr>
          <w:lang w:eastAsia="x-none"/>
        </w:rPr>
        <w:t xml:space="preserve"> </w:t>
      </w:r>
      <w:r w:rsidRPr="00BC0D16">
        <w:rPr>
          <w:lang w:val="x-none" w:eastAsia="x-none"/>
        </w:rPr>
        <w:t>21 547,3 млн.</w:t>
      </w:r>
      <w:r w:rsidR="009B34DB">
        <w:rPr>
          <w:lang w:eastAsia="x-none"/>
        </w:rPr>
        <w:t xml:space="preserve"> </w:t>
      </w:r>
      <w:r w:rsidRPr="00BC0D16">
        <w:rPr>
          <w:lang w:val="x-none" w:eastAsia="x-none"/>
        </w:rPr>
        <w:t>руб., 2021 год –20 469,9 млн.</w:t>
      </w:r>
      <w:r w:rsidR="009B34DB">
        <w:rPr>
          <w:lang w:eastAsia="x-none"/>
        </w:rPr>
        <w:t xml:space="preserve"> </w:t>
      </w:r>
      <w:r w:rsidRPr="00BC0D16">
        <w:rPr>
          <w:lang w:val="x-none" w:eastAsia="x-none"/>
        </w:rPr>
        <w:t xml:space="preserve">руб., 2022 год </w:t>
      </w:r>
      <w:r w:rsidR="009B34DB">
        <w:rPr>
          <w:lang w:val="x-none" w:eastAsia="x-none"/>
        </w:rPr>
        <w:t>−</w:t>
      </w:r>
      <w:r w:rsidRPr="00BC0D16">
        <w:rPr>
          <w:lang w:val="x-none" w:eastAsia="x-none"/>
        </w:rPr>
        <w:t xml:space="preserve"> 21902,8 млн.</w:t>
      </w:r>
      <w:r w:rsidR="009B34DB">
        <w:rPr>
          <w:lang w:eastAsia="x-none"/>
        </w:rPr>
        <w:t xml:space="preserve"> </w:t>
      </w:r>
      <w:r w:rsidRPr="00BC0D16">
        <w:rPr>
          <w:lang w:val="x-none" w:eastAsia="x-none"/>
        </w:rPr>
        <w:t xml:space="preserve">руб., 2023 год  </w:t>
      </w:r>
      <w:r w:rsidR="009B34DB">
        <w:rPr>
          <w:lang w:val="x-none" w:eastAsia="x-none"/>
        </w:rPr>
        <w:t>−</w:t>
      </w:r>
      <w:r w:rsidRPr="00BC0D16">
        <w:rPr>
          <w:lang w:val="x-none" w:eastAsia="x-none"/>
        </w:rPr>
        <w:t xml:space="preserve"> 22559,9 млн.</w:t>
      </w:r>
      <w:r w:rsidR="009B34DB">
        <w:rPr>
          <w:lang w:eastAsia="x-none"/>
        </w:rPr>
        <w:t xml:space="preserve"> </w:t>
      </w:r>
      <w:proofErr w:type="spellStart"/>
      <w:r w:rsidRPr="00BC0D16">
        <w:rPr>
          <w:lang w:val="x-none" w:eastAsia="x-none"/>
        </w:rPr>
        <w:t>руб</w:t>
      </w:r>
      <w:proofErr w:type="spellEnd"/>
      <w:r w:rsidRPr="00BC0D16">
        <w:rPr>
          <w:lang w:val="x-none" w:eastAsia="x-none"/>
        </w:rPr>
        <w:t xml:space="preserve">, 2024 год  </w:t>
      </w:r>
      <w:r w:rsidR="009B34DB">
        <w:rPr>
          <w:lang w:val="x-none" w:eastAsia="x-none"/>
        </w:rPr>
        <w:t>−</w:t>
      </w:r>
      <w:r w:rsidRPr="00BC0D16">
        <w:rPr>
          <w:lang w:val="x-none" w:eastAsia="x-none"/>
        </w:rPr>
        <w:t xml:space="preserve"> 23236,7млн.</w:t>
      </w:r>
      <w:r w:rsidR="009B34DB">
        <w:rPr>
          <w:lang w:eastAsia="x-none"/>
        </w:rPr>
        <w:t xml:space="preserve"> </w:t>
      </w:r>
      <w:r w:rsidRPr="00BC0D16">
        <w:rPr>
          <w:lang w:val="x-none" w:eastAsia="x-none"/>
        </w:rPr>
        <w:t>руб.</w:t>
      </w:r>
      <w:r w:rsidRPr="00BC0D16">
        <w:rPr>
          <w:lang w:eastAsia="x-none"/>
        </w:rPr>
        <w:t>, 2025 год</w:t>
      </w:r>
      <w:r w:rsidRPr="00BC0D16">
        <w:rPr>
          <w:lang w:val="x-none" w:eastAsia="x-none"/>
        </w:rPr>
        <w:t xml:space="preserve"> </w:t>
      </w:r>
      <w:r w:rsidRPr="00BC0D16">
        <w:rPr>
          <w:lang w:eastAsia="x-none"/>
        </w:rPr>
        <w:t>– 23933,8 млн.</w:t>
      </w:r>
      <w:r w:rsidR="009B34DB">
        <w:rPr>
          <w:lang w:eastAsia="x-none"/>
        </w:rPr>
        <w:t xml:space="preserve"> </w:t>
      </w:r>
      <w:r w:rsidRPr="00BC0D16">
        <w:rPr>
          <w:lang w:eastAsia="x-none"/>
        </w:rPr>
        <w:t xml:space="preserve">руб. </w:t>
      </w:r>
      <w:r w:rsidRPr="00BC0D16">
        <w:rPr>
          <w:lang w:val="x-none" w:eastAsia="x-none"/>
        </w:rPr>
        <w:t xml:space="preserve">В 2021 году прогнозируется значительное снижение объемов производства электроэнергии </w:t>
      </w:r>
      <w:r w:rsidR="009B34DB">
        <w:rPr>
          <w:lang w:eastAsia="x-none"/>
        </w:rPr>
        <w:t xml:space="preserve">           </w:t>
      </w:r>
      <w:r w:rsidRPr="00BC0D16">
        <w:rPr>
          <w:lang w:val="x-none" w:eastAsia="x-none"/>
        </w:rPr>
        <w:t xml:space="preserve">в связи с поочередной постановкой на плановый ремонт двух энергоблоков </w:t>
      </w:r>
      <w:proofErr w:type="spellStart"/>
      <w:r w:rsidRPr="00BC0D16">
        <w:rPr>
          <w:lang w:val="x-none" w:eastAsia="x-none"/>
        </w:rPr>
        <w:t>Нижневартовской</w:t>
      </w:r>
      <w:proofErr w:type="spellEnd"/>
      <w:r w:rsidRPr="00BC0D16">
        <w:rPr>
          <w:lang w:val="x-none" w:eastAsia="x-none"/>
        </w:rPr>
        <w:t xml:space="preserve"> ГРЭС, снижение объема производства по базовому варианту составит 1</w:t>
      </w:r>
      <w:r w:rsidRPr="00BC0D16">
        <w:rPr>
          <w:lang w:eastAsia="x-none"/>
        </w:rPr>
        <w:t>4</w:t>
      </w:r>
      <w:r w:rsidRPr="00BC0D16">
        <w:rPr>
          <w:lang w:val="x-none" w:eastAsia="x-none"/>
        </w:rPr>
        <w:t>,</w:t>
      </w:r>
      <w:r w:rsidRPr="00BC0D16">
        <w:rPr>
          <w:lang w:eastAsia="x-none"/>
        </w:rPr>
        <w:t>7</w:t>
      </w:r>
      <w:r w:rsidRPr="00BC0D16">
        <w:rPr>
          <w:lang w:val="x-none" w:eastAsia="x-none"/>
        </w:rPr>
        <w:t xml:space="preserve"> % к 201</w:t>
      </w:r>
      <w:r w:rsidRPr="00BC0D16">
        <w:rPr>
          <w:lang w:eastAsia="x-none"/>
        </w:rPr>
        <w:t>8</w:t>
      </w:r>
      <w:r w:rsidRPr="00BC0D16">
        <w:rPr>
          <w:lang w:val="x-none" w:eastAsia="x-none"/>
        </w:rPr>
        <w:t xml:space="preserve"> году. </w:t>
      </w:r>
    </w:p>
    <w:p w:rsidR="00BC0D16" w:rsidRPr="00BC0D16" w:rsidRDefault="00BC0D16" w:rsidP="009B34DB">
      <w:pPr>
        <w:ind w:firstLine="709"/>
        <w:jc w:val="both"/>
        <w:rPr>
          <w:lang w:eastAsia="en-US"/>
        </w:rPr>
      </w:pPr>
    </w:p>
    <w:p w:rsidR="00BC0D16" w:rsidRPr="009B34DB" w:rsidRDefault="00BC0D16" w:rsidP="00C3344F">
      <w:pPr>
        <w:jc w:val="center"/>
        <w:rPr>
          <w:b/>
          <w:lang w:eastAsia="ar-SA"/>
        </w:rPr>
      </w:pPr>
      <w:r w:rsidRPr="009B34DB">
        <w:rPr>
          <w:b/>
          <w:lang w:eastAsia="ar-SA"/>
        </w:rPr>
        <w:t>2. Инвестиции</w:t>
      </w:r>
    </w:p>
    <w:p w:rsidR="00BC0D16" w:rsidRPr="00BC0D16" w:rsidRDefault="00BC0D16" w:rsidP="009B34DB">
      <w:pPr>
        <w:ind w:firstLine="709"/>
        <w:jc w:val="both"/>
      </w:pPr>
    </w:p>
    <w:p w:rsidR="00BC0D16" w:rsidRPr="00BC0D16" w:rsidRDefault="00BC0D16" w:rsidP="009B34DB">
      <w:pPr>
        <w:ind w:firstLine="709"/>
        <w:jc w:val="both"/>
      </w:pPr>
      <w:r w:rsidRPr="00BC0D16">
        <w:t xml:space="preserve">Объем инвестиций в основной капитал в 2018 году за счет всех источников финансирования составил 126 789,3 млн. рублей, в 2019 году оценивается </w:t>
      </w:r>
      <w:r w:rsidR="009B34DB">
        <w:t xml:space="preserve">                        </w:t>
      </w:r>
      <w:r w:rsidRPr="00BC0D16">
        <w:t>в размере 129 172,9 млн. рублей</w:t>
      </w:r>
      <w:r w:rsidR="009B34DB">
        <w:t>,</w:t>
      </w:r>
      <w:r w:rsidRPr="00BC0D16">
        <w:t xml:space="preserve"> или 101,9% к уровню 2018 года.</w:t>
      </w:r>
    </w:p>
    <w:p w:rsidR="00BC0D16" w:rsidRPr="00BC0D16" w:rsidRDefault="00BC0D16" w:rsidP="009B34DB">
      <w:pPr>
        <w:ind w:firstLine="709"/>
        <w:jc w:val="both"/>
      </w:pPr>
      <w:r w:rsidRPr="00BC0D16">
        <w:t xml:space="preserve">В районе по видам экономической деятельности структура инвестиционных вложений имеет прямую зависимость от инвестиционной политики предприятий топливно-энергетического комплекса, направленной </w:t>
      </w:r>
      <w:r w:rsidR="009B34DB">
        <w:t xml:space="preserve">             </w:t>
      </w:r>
      <w:r w:rsidRPr="00BC0D16">
        <w:t xml:space="preserve">на дальнейшее развитие и модернизацию производства. </w:t>
      </w:r>
    </w:p>
    <w:p w:rsidR="00BC0D16" w:rsidRPr="00BC0D16" w:rsidRDefault="00BC0D16" w:rsidP="009B34DB">
      <w:pPr>
        <w:ind w:firstLine="709"/>
        <w:jc w:val="both"/>
      </w:pPr>
      <w:r w:rsidRPr="00BC0D16">
        <w:t xml:space="preserve">Основным источником финансирования инвестиций являются собственные средства предприятий, их доля в общем объеме 99,8%. При этом доля привлеченных средств, направленных в инвестиции – 0,2%. </w:t>
      </w:r>
    </w:p>
    <w:p w:rsidR="00BC0D16" w:rsidRPr="00BC0D16" w:rsidRDefault="00BC0D16" w:rsidP="009B34DB">
      <w:pPr>
        <w:ind w:firstLine="709"/>
        <w:jc w:val="both"/>
      </w:pPr>
      <w:r w:rsidRPr="00BC0D16">
        <w:t xml:space="preserve">В структуре инвестиций по-прежнему основная часть капитальных вложений (99,3%) занимает добыча полезных ископаемых. Основное направление капиталовложений происходит в обустройство месторождений (строительство трубопроводов, скважин) и т. д. </w:t>
      </w:r>
    </w:p>
    <w:p w:rsidR="00BC0D16" w:rsidRPr="00BC0D16" w:rsidRDefault="00BC0D16" w:rsidP="009B34DB">
      <w:pPr>
        <w:ind w:firstLine="709"/>
        <w:jc w:val="both"/>
      </w:pPr>
      <w:r w:rsidRPr="00BC0D16">
        <w:t xml:space="preserve">На долю инвестиций в электроэнергетике приходится 0,3%, </w:t>
      </w:r>
      <w:r w:rsidR="009B34DB">
        <w:t xml:space="preserve">                                       </w:t>
      </w:r>
      <w:r w:rsidRPr="00BC0D16">
        <w:t xml:space="preserve">в обрабатывающих производствах, транспорте, строительстве и отраслях социальной сферы </w:t>
      </w:r>
      <w:r w:rsidR="009B34DB">
        <w:t>−</w:t>
      </w:r>
      <w:r w:rsidRPr="00BC0D16">
        <w:t xml:space="preserve"> 0,4%. </w:t>
      </w:r>
    </w:p>
    <w:p w:rsidR="00BC0D16" w:rsidRPr="00BC0D16" w:rsidRDefault="00BC0D16" w:rsidP="009B34DB">
      <w:pPr>
        <w:ind w:firstLine="709"/>
        <w:jc w:val="both"/>
      </w:pPr>
      <w:r w:rsidRPr="00BC0D16">
        <w:t>Бюджетные инвестиции в экономике района реализуются в рамках мероприятий государственных программ автономного округа и муниципальных программ района.</w:t>
      </w:r>
    </w:p>
    <w:p w:rsidR="00BC0D16" w:rsidRPr="00BC0D16" w:rsidRDefault="00BC0D16" w:rsidP="009B34DB">
      <w:pPr>
        <w:ind w:firstLine="709"/>
        <w:jc w:val="both"/>
      </w:pPr>
      <w:r w:rsidRPr="00BC0D16">
        <w:t xml:space="preserve">В рамках Адресной инвестиционной программы автономного округа </w:t>
      </w:r>
      <w:r w:rsidR="009B34DB">
        <w:t xml:space="preserve">                      </w:t>
      </w:r>
      <w:r w:rsidRPr="00BC0D16">
        <w:t>на 2019 год  и на плановый период 2020 и 2021 год:</w:t>
      </w:r>
    </w:p>
    <w:p w:rsidR="00BC0D16" w:rsidRPr="00BC0D16" w:rsidRDefault="00BC0D16" w:rsidP="009B34DB">
      <w:pPr>
        <w:ind w:firstLine="709"/>
        <w:jc w:val="both"/>
      </w:pPr>
      <w:r w:rsidRPr="00BC0D16">
        <w:t xml:space="preserve">за счет средств бюджета автономного округа и бюджета района продолжится строительство инженерных сетей участка частной застройки </w:t>
      </w:r>
      <w:r w:rsidR="009B34DB">
        <w:t xml:space="preserve">                   </w:t>
      </w:r>
      <w:r w:rsidRPr="00BC0D16">
        <w:t xml:space="preserve">(2 очередь) в </w:t>
      </w:r>
      <w:proofErr w:type="spellStart"/>
      <w:r w:rsidRPr="00BC0D16">
        <w:t>пгт</w:t>
      </w:r>
      <w:proofErr w:type="spellEnd"/>
      <w:r w:rsidRPr="00BC0D16">
        <w:t xml:space="preserve">. </w:t>
      </w:r>
      <w:proofErr w:type="spellStart"/>
      <w:proofErr w:type="gramStart"/>
      <w:r w:rsidRPr="00BC0D16">
        <w:t>Излучинск</w:t>
      </w:r>
      <w:r w:rsidR="009B34DB">
        <w:t>е</w:t>
      </w:r>
      <w:proofErr w:type="spellEnd"/>
      <w:r w:rsidRPr="00BC0D16">
        <w:t>;</w:t>
      </w:r>
      <w:proofErr w:type="gramEnd"/>
    </w:p>
    <w:p w:rsidR="00BC0D16" w:rsidRPr="00BC0D16" w:rsidRDefault="00BC0D16" w:rsidP="009B34DB">
      <w:pPr>
        <w:ind w:firstLine="709"/>
        <w:jc w:val="both"/>
      </w:pPr>
      <w:proofErr w:type="gramStart"/>
      <w:r w:rsidRPr="00BC0D16">
        <w:t>за счет средств бюджета автономного округа в 2021 году планируется начать проектно-изыскательские работы по реконструкции автомобильной дороги г.</w:t>
      </w:r>
      <w:r w:rsidR="009B34DB">
        <w:t xml:space="preserve"> </w:t>
      </w:r>
      <w:r w:rsidRPr="00BC0D16">
        <w:t>Сургут – г.</w:t>
      </w:r>
      <w:r w:rsidR="009B34DB">
        <w:t xml:space="preserve"> </w:t>
      </w:r>
      <w:r w:rsidRPr="00BC0D16">
        <w:t xml:space="preserve">Нижневартовск, транспортной развязки  в 2-х уровнях </w:t>
      </w:r>
      <w:r w:rsidR="009B34DB">
        <w:t xml:space="preserve">                   </w:t>
      </w:r>
      <w:r w:rsidRPr="00BC0D16">
        <w:t>на пересечении дорог г. Нижневартовск – г.</w:t>
      </w:r>
      <w:r w:rsidR="009B34DB">
        <w:t xml:space="preserve"> </w:t>
      </w:r>
      <w:r w:rsidRPr="00BC0D16">
        <w:t xml:space="preserve">Радужный и Восточного объезда </w:t>
      </w:r>
      <w:r w:rsidR="009B34DB">
        <w:t xml:space="preserve">                </w:t>
      </w:r>
      <w:r w:rsidRPr="00BC0D16">
        <w:t>г.</w:t>
      </w:r>
      <w:r w:rsidR="009B34DB">
        <w:t xml:space="preserve"> </w:t>
      </w:r>
      <w:r w:rsidRPr="00BC0D16">
        <w:t>Нижневартовска, мостового перехода через реку Нарым-</w:t>
      </w:r>
      <w:proofErr w:type="spellStart"/>
      <w:r w:rsidRPr="00BC0D16">
        <w:t>Еган</w:t>
      </w:r>
      <w:proofErr w:type="spellEnd"/>
      <w:r w:rsidRPr="00BC0D16">
        <w:t xml:space="preserve">, мостового перехода через реку </w:t>
      </w:r>
      <w:proofErr w:type="spellStart"/>
      <w:r w:rsidRPr="00BC0D16">
        <w:t>Ватинский</w:t>
      </w:r>
      <w:proofErr w:type="spellEnd"/>
      <w:r w:rsidRPr="00BC0D16">
        <w:t xml:space="preserve"> </w:t>
      </w:r>
      <w:proofErr w:type="spellStart"/>
      <w:r w:rsidRPr="00BC0D16">
        <w:t>Еган</w:t>
      </w:r>
      <w:proofErr w:type="spellEnd"/>
      <w:r w:rsidRPr="00BC0D16">
        <w:t>.</w:t>
      </w:r>
      <w:proofErr w:type="gramEnd"/>
    </w:p>
    <w:p w:rsidR="00BC0D16" w:rsidRPr="00BC0D16" w:rsidRDefault="00BC0D16" w:rsidP="009B34DB">
      <w:pPr>
        <w:ind w:firstLine="709"/>
        <w:jc w:val="both"/>
      </w:pPr>
      <w:r w:rsidRPr="00BC0D16">
        <w:t xml:space="preserve">В рамках социального партнерства и за счет средств бюджета района  </w:t>
      </w:r>
      <w:r w:rsidR="009B34DB">
        <w:t xml:space="preserve">                 </w:t>
      </w:r>
      <w:r w:rsidRPr="00BC0D16">
        <w:t xml:space="preserve">в 2019 году начато строительство культурно-образовательного комплекса </w:t>
      </w:r>
      <w:r w:rsidR="009B34DB">
        <w:t xml:space="preserve">                       </w:t>
      </w:r>
      <w:r w:rsidRPr="00BC0D16">
        <w:lastRenderedPageBreak/>
        <w:t xml:space="preserve">в </w:t>
      </w:r>
      <w:proofErr w:type="spellStart"/>
      <w:r w:rsidRPr="00BC0D16">
        <w:t>Ларьяке</w:t>
      </w:r>
      <w:proofErr w:type="spellEnd"/>
      <w:r w:rsidRPr="00BC0D16">
        <w:t>, сельского дома культуры в Вате, которое продолжится в 2020</w:t>
      </w:r>
      <w:r w:rsidR="009B34DB">
        <w:t>−</w:t>
      </w:r>
      <w:r w:rsidRPr="00BC0D16">
        <w:t>2021 годы.</w:t>
      </w:r>
    </w:p>
    <w:p w:rsidR="00BC0D16" w:rsidRPr="00BC0D16" w:rsidRDefault="00BC0D16" w:rsidP="009B34DB">
      <w:pPr>
        <w:ind w:firstLine="709"/>
        <w:jc w:val="both"/>
      </w:pPr>
      <w:r w:rsidRPr="00BC0D16">
        <w:t xml:space="preserve">В рамках муниципальной программы «Жилищно-коммунальный комплекс и городская среда» за счет средств бюджета района проводятся проектно-изыскательские работы по строительству газопровода в п. </w:t>
      </w:r>
      <w:proofErr w:type="spellStart"/>
      <w:r w:rsidRPr="00BC0D16">
        <w:t>Ваховск</w:t>
      </w:r>
      <w:r w:rsidR="009B34DB">
        <w:t>е</w:t>
      </w:r>
      <w:proofErr w:type="spellEnd"/>
      <w:proofErr w:type="gramStart"/>
      <w:r w:rsidRPr="00BC0D16">
        <w:t xml:space="preserve"> ,</w:t>
      </w:r>
      <w:proofErr w:type="gramEnd"/>
      <w:r w:rsidRPr="00BC0D16">
        <w:t xml:space="preserve"> резервуаров для  нефтепродуктов в с. </w:t>
      </w:r>
      <w:proofErr w:type="spellStart"/>
      <w:r w:rsidRPr="00BC0D16">
        <w:t>Покур</w:t>
      </w:r>
      <w:proofErr w:type="spellEnd"/>
      <w:r w:rsidRPr="00BC0D16">
        <w:t xml:space="preserve">. </w:t>
      </w:r>
    </w:p>
    <w:p w:rsidR="00BC0D16" w:rsidRPr="00BC0D16" w:rsidRDefault="00BC0D16" w:rsidP="009B34DB">
      <w:pPr>
        <w:ind w:firstLine="709"/>
        <w:jc w:val="both"/>
      </w:pPr>
      <w:r w:rsidRPr="00BC0D16">
        <w:t xml:space="preserve">В рамках социального партнерства в 2019 году завершено строительство газовой котельной в </w:t>
      </w:r>
      <w:proofErr w:type="spellStart"/>
      <w:r w:rsidRPr="00BC0D16">
        <w:t>Варьегане</w:t>
      </w:r>
      <w:proofErr w:type="spellEnd"/>
      <w:r w:rsidRPr="00BC0D16">
        <w:t xml:space="preserve">, продолжится строительство крытого хоккейного корта в </w:t>
      </w:r>
      <w:proofErr w:type="spellStart"/>
      <w:r w:rsidRPr="00BC0D16">
        <w:t>Новоаганске</w:t>
      </w:r>
      <w:proofErr w:type="spellEnd"/>
      <w:r w:rsidRPr="00BC0D16">
        <w:t xml:space="preserve">. В 2019 году и прогнозный период продолжится строительство храма-часовни в п. </w:t>
      </w:r>
      <w:proofErr w:type="spellStart"/>
      <w:r w:rsidRPr="00BC0D16">
        <w:t>Агане</w:t>
      </w:r>
      <w:proofErr w:type="spellEnd"/>
      <w:r w:rsidRPr="00BC0D16">
        <w:t xml:space="preserve">, Знаменской церкви в </w:t>
      </w:r>
      <w:proofErr w:type="spellStart"/>
      <w:r w:rsidRPr="00BC0D16">
        <w:t>Ларьяке</w:t>
      </w:r>
      <w:proofErr w:type="spellEnd"/>
      <w:r w:rsidRPr="00BC0D16">
        <w:t xml:space="preserve"> </w:t>
      </w:r>
      <w:r w:rsidR="00777566">
        <w:t xml:space="preserve">                                </w:t>
      </w:r>
      <w:r w:rsidRPr="00BC0D16">
        <w:t>и реконструкция православного храма в честь священномученика</w:t>
      </w:r>
      <w:r w:rsidR="00777566">
        <w:t xml:space="preserve"> </w:t>
      </w:r>
      <w:proofErr w:type="spellStart"/>
      <w:r w:rsidRPr="00BC0D16">
        <w:t>Гермогена</w:t>
      </w:r>
      <w:proofErr w:type="spellEnd"/>
      <w:r w:rsidRPr="00BC0D16">
        <w:t xml:space="preserve"> </w:t>
      </w:r>
      <w:r w:rsidR="00777566">
        <w:t xml:space="preserve">                      </w:t>
      </w:r>
      <w:r w:rsidRPr="00BC0D16">
        <w:t xml:space="preserve">и всех </w:t>
      </w:r>
      <w:proofErr w:type="spellStart"/>
      <w:r w:rsidRPr="00BC0D16">
        <w:t>Новомученников</w:t>
      </w:r>
      <w:proofErr w:type="spellEnd"/>
      <w:r w:rsidRPr="00BC0D16">
        <w:t xml:space="preserve"> и Исповедников Российских в </w:t>
      </w:r>
      <w:proofErr w:type="spellStart"/>
      <w:r w:rsidRPr="00BC0D16">
        <w:t>пгт</w:t>
      </w:r>
      <w:proofErr w:type="spellEnd"/>
      <w:r w:rsidRPr="00BC0D16">
        <w:t xml:space="preserve">. </w:t>
      </w:r>
      <w:proofErr w:type="spellStart"/>
      <w:r w:rsidRPr="00BC0D16">
        <w:t>Новоаганске</w:t>
      </w:r>
      <w:proofErr w:type="spellEnd"/>
      <w:r w:rsidRPr="00BC0D16">
        <w:t xml:space="preserve">. </w:t>
      </w:r>
    </w:p>
    <w:p w:rsidR="00BC0D16" w:rsidRPr="00BC0D16" w:rsidRDefault="00BC0D16" w:rsidP="009B34DB">
      <w:pPr>
        <w:ind w:firstLine="709"/>
        <w:jc w:val="both"/>
      </w:pPr>
      <w:r w:rsidRPr="00BC0D16">
        <w:t xml:space="preserve">В рамках государственной программы Ханты-Мансийского автономного округа – Югры </w:t>
      </w:r>
      <w:r w:rsidR="00777566">
        <w:t>«</w:t>
      </w:r>
      <w:r w:rsidRPr="00BC0D16">
        <w:t>Развитие образования</w:t>
      </w:r>
      <w:r w:rsidR="00777566">
        <w:t>»</w:t>
      </w:r>
      <w:r w:rsidRPr="00BC0D16">
        <w:t xml:space="preserve"> в 2022 году планируется строительство</w:t>
      </w:r>
      <w:r w:rsidR="00777566">
        <w:t xml:space="preserve"> </w:t>
      </w:r>
      <w:r w:rsidRPr="00BC0D16">
        <w:t xml:space="preserve">загородного стационарного лагеря круглосуточного пребывания детей  «Лесная сказка» 2 очередь, </w:t>
      </w:r>
      <w:proofErr w:type="spellStart"/>
      <w:r w:rsidRPr="00BC0D16">
        <w:t>пгт</w:t>
      </w:r>
      <w:proofErr w:type="gramStart"/>
      <w:r w:rsidRPr="00BC0D16">
        <w:t>.И</w:t>
      </w:r>
      <w:proofErr w:type="gramEnd"/>
      <w:r w:rsidRPr="00BC0D16">
        <w:t>злучинск</w:t>
      </w:r>
      <w:proofErr w:type="spellEnd"/>
      <w:r w:rsidRPr="00BC0D16">
        <w:t>, в 2024</w:t>
      </w:r>
      <w:r w:rsidR="00777566">
        <w:t>−</w:t>
      </w:r>
      <w:r w:rsidRPr="00BC0D16">
        <w:t xml:space="preserve">2025 годах планируется строительство детского сада в </w:t>
      </w:r>
      <w:proofErr w:type="spellStart"/>
      <w:r w:rsidRPr="00BC0D16">
        <w:t>пгт</w:t>
      </w:r>
      <w:proofErr w:type="spellEnd"/>
      <w:r w:rsidRPr="00BC0D16">
        <w:t>.</w:t>
      </w:r>
      <w:r w:rsidR="00777566">
        <w:t xml:space="preserve"> </w:t>
      </w:r>
      <w:proofErr w:type="spellStart"/>
      <w:r w:rsidRPr="00BC0D16">
        <w:t>Новоаганске</w:t>
      </w:r>
      <w:proofErr w:type="spellEnd"/>
      <w:r w:rsidRPr="00BC0D16">
        <w:t xml:space="preserve"> на 200 мест.</w:t>
      </w:r>
    </w:p>
    <w:p w:rsidR="00BC0D16" w:rsidRPr="00BC0D16" w:rsidRDefault="00BC0D16" w:rsidP="009B34DB">
      <w:pPr>
        <w:ind w:firstLine="709"/>
        <w:jc w:val="both"/>
      </w:pPr>
      <w:r w:rsidRPr="00BC0D16">
        <w:t xml:space="preserve">В прогнозный период планируется незначительный рост объема инвестиций: 2020 год </w:t>
      </w:r>
      <w:r w:rsidR="00777566">
        <w:t>−</w:t>
      </w:r>
      <w:r w:rsidRPr="00BC0D16">
        <w:t xml:space="preserve"> 132265,4 млн.</w:t>
      </w:r>
      <w:r w:rsidR="00777566">
        <w:t xml:space="preserve"> </w:t>
      </w:r>
      <w:r w:rsidRPr="00BC0D16">
        <w:t xml:space="preserve">руб., 2021 год </w:t>
      </w:r>
      <w:r w:rsidR="00777566">
        <w:t>−</w:t>
      </w:r>
      <w:r w:rsidRPr="00BC0D16">
        <w:t xml:space="preserve">136332,8 </w:t>
      </w:r>
      <w:proofErr w:type="spellStart"/>
      <w:r w:rsidRPr="00BC0D16">
        <w:t>млн</w:t>
      </w:r>
      <w:proofErr w:type="gramStart"/>
      <w:r w:rsidRPr="00BC0D16">
        <w:t>.р</w:t>
      </w:r>
      <w:proofErr w:type="gramEnd"/>
      <w:r w:rsidRPr="00BC0D16">
        <w:t>уб</w:t>
      </w:r>
      <w:proofErr w:type="spellEnd"/>
      <w:r w:rsidRPr="00BC0D16">
        <w:t>.,</w:t>
      </w:r>
      <w:r w:rsidR="00777566">
        <w:t xml:space="preserve">                   </w:t>
      </w:r>
      <w:r w:rsidRPr="00BC0D16">
        <w:t xml:space="preserve">2022 год </w:t>
      </w:r>
      <w:r w:rsidR="00777566">
        <w:t>−</w:t>
      </w:r>
      <w:r w:rsidRPr="00BC0D16">
        <w:t xml:space="preserve"> 141959,4 млн. руб., 2023 год – 144798,6 млн. руб., 2024 год </w:t>
      </w:r>
      <w:r w:rsidR="00777566">
        <w:t xml:space="preserve">− </w:t>
      </w:r>
      <w:r w:rsidRPr="00BC0D16">
        <w:t xml:space="preserve">147694,6 млн. руб., 2025 </w:t>
      </w:r>
      <w:r w:rsidR="00777566">
        <w:t xml:space="preserve">− </w:t>
      </w:r>
      <w:r w:rsidRPr="00BC0D16">
        <w:t>150 648,5 млн.</w:t>
      </w:r>
      <w:r w:rsidR="00777566">
        <w:t xml:space="preserve"> </w:t>
      </w:r>
      <w:r w:rsidRPr="00BC0D16">
        <w:t>руб. В 2025 году увеличение объема инвестиций по базовому варианту составит 18,8% к 2018году.</w:t>
      </w:r>
    </w:p>
    <w:p w:rsidR="00BC0D16" w:rsidRPr="00BC0D16" w:rsidRDefault="00BC0D16" w:rsidP="009B34DB">
      <w:pPr>
        <w:ind w:firstLine="709"/>
        <w:jc w:val="both"/>
      </w:pPr>
      <w:r w:rsidRPr="00BC0D16">
        <w:t xml:space="preserve">Для создания благоприятного инвестиционного климата </w:t>
      </w:r>
      <w:r w:rsidR="00777566">
        <w:t xml:space="preserve">                                               </w:t>
      </w:r>
      <w:proofErr w:type="gramStart"/>
      <w:r w:rsidRPr="00BC0D16">
        <w:t>в</w:t>
      </w:r>
      <w:proofErr w:type="gramEnd"/>
      <w:r w:rsidRPr="00BC0D16">
        <w:t xml:space="preserve"> </w:t>
      </w:r>
      <w:proofErr w:type="gramStart"/>
      <w:r w:rsidRPr="00BC0D16">
        <w:t>Нижневартовском</w:t>
      </w:r>
      <w:proofErr w:type="gramEnd"/>
      <w:r w:rsidRPr="00BC0D16">
        <w:t xml:space="preserve"> районе сформирован перечень из 34 инвестиционных </w:t>
      </w:r>
      <w:r w:rsidR="00777566">
        <w:t xml:space="preserve">                     </w:t>
      </w:r>
      <w:r w:rsidRPr="00BC0D16">
        <w:t>и социально</w:t>
      </w:r>
      <w:r w:rsidR="00777566">
        <w:t xml:space="preserve"> </w:t>
      </w:r>
      <w:r w:rsidRPr="00BC0D16">
        <w:t xml:space="preserve">значимых проектов,  общей инвестиционной  емкостью более 3,8 миллиарда рублей, которые в настоящее время реализуются и планируются </w:t>
      </w:r>
      <w:r w:rsidR="00777566">
        <w:t xml:space="preserve">                  </w:t>
      </w:r>
      <w:r w:rsidRPr="00BC0D16">
        <w:t xml:space="preserve">к реализации до 2025 года. Наибольшая доля проектов </w:t>
      </w:r>
      <w:r w:rsidR="00777566">
        <w:t>−</w:t>
      </w:r>
      <w:r w:rsidRPr="00BC0D16">
        <w:t xml:space="preserve"> 52,5% в строительстве жилья, 30% </w:t>
      </w:r>
      <w:r w:rsidR="00777566">
        <w:t>−</w:t>
      </w:r>
      <w:r w:rsidRPr="00BC0D16">
        <w:t xml:space="preserve"> в сфере сельского хозяйства, 10% </w:t>
      </w:r>
      <w:r w:rsidR="00777566">
        <w:t>−</w:t>
      </w:r>
      <w:r w:rsidRPr="00BC0D16">
        <w:t xml:space="preserve"> </w:t>
      </w:r>
      <w:r w:rsidR="00777566">
        <w:t>в пищевой промышленности, 7,5% −</w:t>
      </w:r>
      <w:r w:rsidRPr="00BC0D16">
        <w:t xml:space="preserve"> в лесопромышленном комплексе.</w:t>
      </w:r>
    </w:p>
    <w:p w:rsidR="00BC0D16" w:rsidRPr="00BC0D16" w:rsidRDefault="00BC0D16" w:rsidP="009B34DB">
      <w:pPr>
        <w:ind w:firstLine="709"/>
        <w:jc w:val="both"/>
      </w:pPr>
      <w:r w:rsidRPr="00BC0D16">
        <w:t xml:space="preserve">В 2019 году за счет средств инвесторов продолжится активное развитие сельского хозяйства, завершено строительство 2 семейных животноводческих ферм на базе фермерских хозяйств </w:t>
      </w:r>
      <w:r w:rsidR="00777566">
        <w:t>«</w:t>
      </w:r>
      <w:proofErr w:type="spellStart"/>
      <w:r w:rsidRPr="00BC0D16">
        <w:t>Мардер</w:t>
      </w:r>
      <w:proofErr w:type="spellEnd"/>
      <w:r w:rsidR="00777566">
        <w:t>» и «</w:t>
      </w:r>
      <w:r w:rsidRPr="00BC0D16">
        <w:t>Обь</w:t>
      </w:r>
      <w:r w:rsidR="00777566">
        <w:t>»</w:t>
      </w:r>
      <w:r w:rsidRPr="00BC0D16">
        <w:t xml:space="preserve"> в </w:t>
      </w:r>
      <w:proofErr w:type="spellStart"/>
      <w:r w:rsidRPr="00BC0D16">
        <w:t>пгт</w:t>
      </w:r>
      <w:proofErr w:type="spellEnd"/>
      <w:r w:rsidRPr="00BC0D16">
        <w:t xml:space="preserve">. </w:t>
      </w:r>
      <w:proofErr w:type="spellStart"/>
      <w:r w:rsidRPr="00BC0D16">
        <w:t>Излучинск</w:t>
      </w:r>
      <w:r w:rsidR="00777566">
        <w:t>е</w:t>
      </w:r>
      <w:proofErr w:type="spellEnd"/>
      <w:r w:rsidR="00777566">
        <w:t xml:space="preserve">                         </w:t>
      </w:r>
      <w:r w:rsidRPr="00BC0D16">
        <w:t xml:space="preserve">  и по автодороге Нижневартовск</w:t>
      </w:r>
      <w:r w:rsidR="00777566">
        <w:t xml:space="preserve"> − </w:t>
      </w:r>
      <w:proofErr w:type="spellStart"/>
      <w:r w:rsidRPr="00BC0D16">
        <w:t>Мегион</w:t>
      </w:r>
      <w:proofErr w:type="spellEnd"/>
      <w:r w:rsidRPr="00BC0D16">
        <w:t>.</w:t>
      </w:r>
    </w:p>
    <w:p w:rsidR="00BC0D16" w:rsidRPr="00BC0D16" w:rsidRDefault="00BC0D16" w:rsidP="009B34DB">
      <w:pPr>
        <w:ind w:firstLine="709"/>
        <w:jc w:val="both"/>
      </w:pPr>
      <w:r w:rsidRPr="00BC0D16">
        <w:t>За счет средств инвестора в прогнозном периоде продолжается реализация проекта «Жилой комплекс малоэтажной застройки по ул. Набережн</w:t>
      </w:r>
      <w:r w:rsidR="00777566">
        <w:t>ой</w:t>
      </w:r>
      <w:r w:rsidRPr="00BC0D16">
        <w:t xml:space="preserve"> </w:t>
      </w:r>
      <w:r w:rsidR="00777566">
        <w:t xml:space="preserve">                          </w:t>
      </w:r>
      <w:proofErr w:type="spellStart"/>
      <w:r w:rsidRPr="00BC0D16">
        <w:t>пгт</w:t>
      </w:r>
      <w:proofErr w:type="spellEnd"/>
      <w:r w:rsidRPr="00BC0D16">
        <w:t xml:space="preserve">. </w:t>
      </w:r>
      <w:proofErr w:type="spellStart"/>
      <w:r w:rsidRPr="00BC0D16">
        <w:t>Излучинск</w:t>
      </w:r>
      <w:r w:rsidR="00777566">
        <w:t>а</w:t>
      </w:r>
      <w:proofErr w:type="spellEnd"/>
      <w:r w:rsidRPr="00BC0D16">
        <w:t xml:space="preserve"> Нижневартовского района». Стоимость инвестиционного проекта составляет  600 млн. руб.</w:t>
      </w:r>
      <w:r w:rsidR="00777566">
        <w:t>,</w:t>
      </w:r>
      <w:r w:rsidRPr="00BC0D16">
        <w:t xml:space="preserve"> из которых на сегодняшний день освоено около 400  млн. руб.  </w:t>
      </w:r>
    </w:p>
    <w:p w:rsidR="00BC0D16" w:rsidRPr="00BC0D16" w:rsidRDefault="00BC0D16" w:rsidP="009B34DB">
      <w:pPr>
        <w:ind w:firstLine="709"/>
        <w:jc w:val="both"/>
      </w:pPr>
      <w:r w:rsidRPr="00BC0D16">
        <w:t>Проектом планировки предусмотрено строительство 20 жилых домов общей площадью 12,4 тыс. кв</w:t>
      </w:r>
      <w:r w:rsidR="00777566">
        <w:t>.</w:t>
      </w:r>
      <w:r w:rsidRPr="00BC0D16">
        <w:t xml:space="preserve"> метров. В рамках благоустройства территории предусмотрены </w:t>
      </w:r>
      <w:proofErr w:type="gramStart"/>
      <w:r w:rsidRPr="00BC0D16">
        <w:t>пешеходные тротуары</w:t>
      </w:r>
      <w:proofErr w:type="gramEnd"/>
      <w:r w:rsidRPr="00BC0D16">
        <w:t xml:space="preserve">, площадки </w:t>
      </w:r>
      <w:r w:rsidR="00777566">
        <w:t xml:space="preserve">для </w:t>
      </w:r>
      <w:r w:rsidRPr="00BC0D16">
        <w:t xml:space="preserve">сбора мусора, озеленение.  </w:t>
      </w:r>
    </w:p>
    <w:p w:rsidR="00BC0D16" w:rsidRPr="00BC0D16" w:rsidRDefault="00BC0D16" w:rsidP="009B34DB">
      <w:pPr>
        <w:ind w:firstLine="709"/>
        <w:jc w:val="both"/>
      </w:pPr>
      <w:proofErr w:type="gramStart"/>
      <w:r w:rsidRPr="00BC0D16">
        <w:t xml:space="preserve">Для комфортного проживания населения поселка на территории комплексной застройки проектной документацией предусмотрено </w:t>
      </w:r>
      <w:r w:rsidRPr="00BC0D16">
        <w:lastRenderedPageBreak/>
        <w:t>строительство магазина товаров повседневного спроса с  площадкой для автотранспорта</w:t>
      </w:r>
      <w:proofErr w:type="gramEnd"/>
      <w:r w:rsidRPr="00BC0D16">
        <w:t xml:space="preserve">. </w:t>
      </w:r>
    </w:p>
    <w:p w:rsidR="00BC0D16" w:rsidRPr="00BC0D16" w:rsidRDefault="00BC0D16" w:rsidP="009B34DB">
      <w:pPr>
        <w:ind w:firstLine="709"/>
        <w:jc w:val="both"/>
      </w:pPr>
      <w:r w:rsidRPr="00BC0D16">
        <w:t xml:space="preserve">В настоящее время по данному проекту построено 8 индивидуальных жилых домов, два 4-х квартирных жилых дома и два 8-ми квартирных жилых дома, которые составляют 5 175,6 </w:t>
      </w:r>
      <w:r w:rsidR="00777566">
        <w:t xml:space="preserve">кв. </w:t>
      </w:r>
      <w:r w:rsidRPr="00BC0D16">
        <w:t>м</w:t>
      </w:r>
      <w:r w:rsidR="00777566">
        <w:t xml:space="preserve"> </w:t>
      </w:r>
      <w:r w:rsidRPr="00BC0D16">
        <w:t xml:space="preserve">жилья, в стадии строительства еще 8 жилых домов. Срок окончания строительства </w:t>
      </w:r>
      <w:r w:rsidR="00777566">
        <w:t>−</w:t>
      </w:r>
      <w:r w:rsidRPr="00BC0D16">
        <w:t xml:space="preserve"> 2020 год. </w:t>
      </w:r>
    </w:p>
    <w:p w:rsidR="00BC0D16" w:rsidRPr="00BC0D16" w:rsidRDefault="00BC0D16" w:rsidP="009B34DB">
      <w:pPr>
        <w:ind w:firstLine="709"/>
        <w:jc w:val="both"/>
      </w:pPr>
      <w:proofErr w:type="gramStart"/>
      <w:r w:rsidRPr="00BC0D16">
        <w:t xml:space="preserve">За 2018 год объем работ по виду деятельности «Строительство» составил  3 280,8 млн. рублей, </w:t>
      </w:r>
      <w:r w:rsidR="00777566">
        <w:t>в</w:t>
      </w:r>
      <w:r w:rsidRPr="00BC0D16">
        <w:t xml:space="preserve">ведено в действие 10 350  кв. м жилья, что составляет </w:t>
      </w:r>
      <w:r w:rsidR="00777566">
        <w:t xml:space="preserve">              </w:t>
      </w:r>
      <w:r w:rsidRPr="00BC0D16">
        <w:t xml:space="preserve">161,2 % к объему введенного жилья в 2017 году, в 2019 году  оценивается </w:t>
      </w:r>
      <w:r w:rsidR="00777566">
        <w:t xml:space="preserve">                       </w:t>
      </w:r>
      <w:r w:rsidRPr="00BC0D16">
        <w:t>в размере 3 772,9 млн. рублей, в том числе по жилищному строительству –</w:t>
      </w:r>
      <w:r w:rsidR="00777566">
        <w:t xml:space="preserve"> </w:t>
      </w:r>
      <w:r w:rsidRPr="00BC0D16">
        <w:t>432,1 млн. руб.</w:t>
      </w:r>
      <w:proofErr w:type="gramEnd"/>
    </w:p>
    <w:p w:rsidR="00BC0D16" w:rsidRPr="00BC0D16" w:rsidRDefault="00BC0D16" w:rsidP="009B34DB">
      <w:pPr>
        <w:ind w:firstLine="709"/>
        <w:jc w:val="both"/>
      </w:pPr>
      <w:r w:rsidRPr="00BC0D16">
        <w:t>В 2019 году за счет всех источников финансирования, в том числе инвесторов-застройщиков, запланировано к вводу в эксплуатацию объектов жилищного строительства в объеме 13,8 тыс. кв. м, их них 2,2 тыс.</w:t>
      </w:r>
      <w:r w:rsidR="00777566">
        <w:t xml:space="preserve"> </w:t>
      </w:r>
      <w:r w:rsidRPr="00BC0D16">
        <w:t>кв.</w:t>
      </w:r>
      <w:r w:rsidR="00777566">
        <w:t xml:space="preserve"> </w:t>
      </w:r>
      <w:r w:rsidRPr="00BC0D16">
        <w:t>м за счет индивидуального жилищного строительства</w:t>
      </w:r>
      <w:r w:rsidR="00777566">
        <w:t>,</w:t>
      </w:r>
      <w:r w:rsidRPr="00BC0D16">
        <w:t xml:space="preserve"> или 16,2%.</w:t>
      </w:r>
    </w:p>
    <w:p w:rsidR="00BC0D16" w:rsidRPr="00BC0D16" w:rsidRDefault="00BC0D16" w:rsidP="009B34DB">
      <w:pPr>
        <w:ind w:firstLine="709"/>
        <w:jc w:val="both"/>
      </w:pPr>
      <w:proofErr w:type="gramStart"/>
      <w:r w:rsidRPr="00BC0D16">
        <w:t>В прогнозном периоде ожидается увеличение объемов по строительству: 2020 год – 3980,4 млн.</w:t>
      </w:r>
      <w:r w:rsidR="00777566">
        <w:t xml:space="preserve"> </w:t>
      </w:r>
      <w:r w:rsidRPr="00BC0D16">
        <w:t>руб., 2021 год – 4 099,8 млн. руб., 2022 год – 4 304,8 млн. руб., 2023 год – 4 434,0 млн. руб., 2024 год – 4 522,7 млн. руб., 2025 год – 4613,11 млн.</w:t>
      </w:r>
      <w:r w:rsidR="00777566">
        <w:t xml:space="preserve"> </w:t>
      </w:r>
      <w:r w:rsidRPr="00BC0D16">
        <w:t>руб. Ввод жилья по базовому варианту ежегодно планируется в объеме 10,0 тыс. кв.</w:t>
      </w:r>
      <w:r w:rsidR="00777566">
        <w:t xml:space="preserve"> </w:t>
      </w:r>
      <w:r w:rsidRPr="00BC0D16">
        <w:t>м, их них 1,0 тыс.</w:t>
      </w:r>
      <w:r w:rsidR="00777566">
        <w:t xml:space="preserve"> </w:t>
      </w:r>
      <w:r w:rsidRPr="00BC0D16">
        <w:t>кв</w:t>
      </w:r>
      <w:proofErr w:type="gramEnd"/>
      <w:r w:rsidRPr="00BC0D16">
        <w:t>.</w:t>
      </w:r>
      <w:r w:rsidR="00777566">
        <w:t xml:space="preserve"> </w:t>
      </w:r>
      <w:proofErr w:type="gramStart"/>
      <w:r w:rsidRPr="00BC0D16">
        <w:t>м</w:t>
      </w:r>
      <w:proofErr w:type="gramEnd"/>
      <w:r w:rsidRPr="00BC0D16">
        <w:t xml:space="preserve"> за счет индивидуального жилищного строительства. </w:t>
      </w:r>
      <w:proofErr w:type="gramStart"/>
      <w:r w:rsidRPr="00BC0D16">
        <w:t xml:space="preserve">Достижение запланированных показателей предусмотрено </w:t>
      </w:r>
      <w:r w:rsidR="00777566">
        <w:t xml:space="preserve">                    </w:t>
      </w:r>
      <w:r w:rsidRPr="00BC0D16">
        <w:t xml:space="preserve">в рамках реализации муниципальной программы «Развитие жилищной сферы </w:t>
      </w:r>
      <w:r w:rsidR="00777566">
        <w:t xml:space="preserve">                 </w:t>
      </w:r>
      <w:r w:rsidRPr="00BC0D16">
        <w:t xml:space="preserve">в Нижневартовском районе» и с учетом </w:t>
      </w:r>
      <w:proofErr w:type="spellStart"/>
      <w:r w:rsidRPr="00BC0D16">
        <w:t>софинансирования</w:t>
      </w:r>
      <w:proofErr w:type="spellEnd"/>
      <w:r w:rsidRPr="00BC0D16">
        <w:t xml:space="preserve"> из средств бюджета автономного округа посредством участия в государственной программе Ханты-Мансийского автономного округа </w:t>
      </w:r>
      <w:r w:rsidR="00777566">
        <w:t>−</w:t>
      </w:r>
      <w:r w:rsidRPr="00BC0D16">
        <w:t xml:space="preserve"> Югры «Развитие жилищной сферы». </w:t>
      </w:r>
      <w:proofErr w:type="gramEnd"/>
    </w:p>
    <w:p w:rsidR="00BC0D16" w:rsidRPr="00BC0D16" w:rsidRDefault="00BC0D16" w:rsidP="009B34DB">
      <w:pPr>
        <w:ind w:firstLine="709"/>
        <w:jc w:val="both"/>
      </w:pPr>
      <w:r w:rsidRPr="00BC0D16">
        <w:t>Удельный вес ветхого жилого фонда в 2018 году составил 4,2 %, в 2019 году прогнозируется 3,0%. В связи со сносом непригодного для проживания жилья</w:t>
      </w:r>
      <w:r w:rsidR="00777566">
        <w:t>,</w:t>
      </w:r>
      <w:r w:rsidRPr="00BC0D16">
        <w:t xml:space="preserve"> тенденция снижения продолжится в прогнозном периоде и составит:</w:t>
      </w:r>
      <w:r w:rsidR="00777566">
        <w:t xml:space="preserve">                  в </w:t>
      </w:r>
      <w:r w:rsidRPr="00BC0D16">
        <w:t>2020</w:t>
      </w:r>
      <w:r w:rsidR="00777566">
        <w:t xml:space="preserve"> году</w:t>
      </w:r>
      <w:r w:rsidRPr="00BC0D16">
        <w:t xml:space="preserve"> – 2,6%, 2021 год</w:t>
      </w:r>
      <w:r w:rsidR="00777566">
        <w:t>у</w:t>
      </w:r>
      <w:r w:rsidRPr="00BC0D16">
        <w:t xml:space="preserve"> </w:t>
      </w:r>
      <w:r w:rsidR="00777566">
        <w:t>−</w:t>
      </w:r>
      <w:r w:rsidRPr="00BC0D16">
        <w:t xml:space="preserve"> 2,2%, 2022 год</w:t>
      </w:r>
      <w:r w:rsidR="00791789">
        <w:t>у</w:t>
      </w:r>
      <w:r w:rsidRPr="00BC0D16">
        <w:t xml:space="preserve"> –</w:t>
      </w:r>
      <w:r w:rsidR="00777566">
        <w:t xml:space="preserve"> </w:t>
      </w:r>
      <w:r w:rsidRPr="00BC0D16">
        <w:t>1,8%, 2023 год</w:t>
      </w:r>
      <w:r w:rsidR="00791789">
        <w:t>у</w:t>
      </w:r>
      <w:r w:rsidRPr="00BC0D16">
        <w:t xml:space="preserve"> </w:t>
      </w:r>
      <w:r w:rsidR="00777566">
        <w:t>−</w:t>
      </w:r>
      <w:r w:rsidRPr="00BC0D16">
        <w:t xml:space="preserve"> 1,4%.  </w:t>
      </w:r>
    </w:p>
    <w:p w:rsidR="00BC0D16" w:rsidRPr="00BC0D16" w:rsidRDefault="00BC0D16" w:rsidP="009B34DB">
      <w:pPr>
        <w:ind w:firstLine="709"/>
        <w:jc w:val="both"/>
      </w:pPr>
    </w:p>
    <w:p w:rsidR="00BC0D16" w:rsidRDefault="00BC0D16" w:rsidP="00C3344F">
      <w:pPr>
        <w:jc w:val="center"/>
        <w:rPr>
          <w:b/>
        </w:rPr>
      </w:pPr>
      <w:r w:rsidRPr="00791789">
        <w:rPr>
          <w:b/>
        </w:rPr>
        <w:t>3. Малое и среднее предпринимательство, потребительский рынок</w:t>
      </w:r>
    </w:p>
    <w:p w:rsidR="00791789" w:rsidRPr="00791789" w:rsidRDefault="00791789" w:rsidP="00791789">
      <w:pPr>
        <w:ind w:firstLine="709"/>
        <w:jc w:val="center"/>
        <w:rPr>
          <w:b/>
        </w:rPr>
      </w:pPr>
    </w:p>
    <w:p w:rsidR="00BC0D16" w:rsidRPr="00BC0D16" w:rsidRDefault="00BC0D16" w:rsidP="009B34DB">
      <w:pPr>
        <w:ind w:firstLine="709"/>
        <w:jc w:val="both"/>
      </w:pPr>
      <w:r w:rsidRPr="00BC0D16">
        <w:t xml:space="preserve">Развитие предпринимательства является одной из приоритетных задач социально-экономического развития района. </w:t>
      </w:r>
    </w:p>
    <w:p w:rsidR="00BC0D16" w:rsidRPr="00BC0D16" w:rsidRDefault="00BC0D16" w:rsidP="009B34DB">
      <w:pPr>
        <w:ind w:firstLine="709"/>
        <w:jc w:val="both"/>
      </w:pPr>
      <w:r w:rsidRPr="00BC0D16">
        <w:t xml:space="preserve">Несмотря на то, что основу экономики Нижневартовского района составляют крупные предприятия, малое и среднее предпринимательство играет значительную роль в решении экономических и социальных задач района, таких как: </w:t>
      </w:r>
    </w:p>
    <w:p w:rsidR="00BC0D16" w:rsidRPr="00BC0D16" w:rsidRDefault="00BC0D16" w:rsidP="009B34DB">
      <w:pPr>
        <w:ind w:firstLine="709"/>
        <w:jc w:val="both"/>
      </w:pPr>
      <w:r w:rsidRPr="00BC0D16">
        <w:t>сохранени</w:t>
      </w:r>
      <w:r w:rsidR="00791789">
        <w:t>е</w:t>
      </w:r>
      <w:r w:rsidRPr="00BC0D16">
        <w:t xml:space="preserve"> уровня безработицы на низком уровне, </w:t>
      </w:r>
    </w:p>
    <w:p w:rsidR="00BC0D16" w:rsidRPr="00BC0D16" w:rsidRDefault="00BC0D16" w:rsidP="009B34DB">
      <w:pPr>
        <w:ind w:firstLine="709"/>
        <w:jc w:val="both"/>
      </w:pPr>
      <w:r w:rsidRPr="00BC0D16">
        <w:t>формирование конкурентной среды,</w:t>
      </w:r>
    </w:p>
    <w:p w:rsidR="00BC0D16" w:rsidRPr="00BC0D16" w:rsidRDefault="00BC0D16" w:rsidP="009B34DB">
      <w:pPr>
        <w:ind w:firstLine="709"/>
        <w:jc w:val="both"/>
      </w:pPr>
      <w:r w:rsidRPr="00BC0D16">
        <w:t xml:space="preserve">оказание более широкого спектра услуг, </w:t>
      </w:r>
    </w:p>
    <w:p w:rsidR="00BC0D16" w:rsidRPr="00BC0D16" w:rsidRDefault="00BC0D16" w:rsidP="009B34DB">
      <w:pPr>
        <w:ind w:firstLine="709"/>
        <w:jc w:val="both"/>
      </w:pPr>
      <w:r w:rsidRPr="00BC0D16">
        <w:t>увеличени</w:t>
      </w:r>
      <w:r w:rsidR="00791789">
        <w:t>е</w:t>
      </w:r>
      <w:r w:rsidRPr="00BC0D16">
        <w:t xml:space="preserve"> ассортимента выпускаемой продукции, </w:t>
      </w:r>
    </w:p>
    <w:p w:rsidR="00BC0D16" w:rsidRPr="00BC0D16" w:rsidRDefault="00BC0D16" w:rsidP="009B34DB">
      <w:pPr>
        <w:ind w:firstLine="709"/>
        <w:jc w:val="both"/>
      </w:pPr>
      <w:r w:rsidRPr="00BC0D16">
        <w:t>привлечение инвестиций в экономику района,</w:t>
      </w:r>
    </w:p>
    <w:p w:rsidR="00BC0D16" w:rsidRPr="00BC0D16" w:rsidRDefault="00BC0D16" w:rsidP="009B34DB">
      <w:pPr>
        <w:ind w:firstLine="709"/>
        <w:jc w:val="both"/>
      </w:pPr>
      <w:r w:rsidRPr="00BC0D16">
        <w:t>стабильност</w:t>
      </w:r>
      <w:r w:rsidR="00791789">
        <w:t>ь</w:t>
      </w:r>
      <w:r w:rsidRPr="00BC0D16">
        <w:t xml:space="preserve"> налоговых поступлений в бюджеты.</w:t>
      </w:r>
    </w:p>
    <w:p w:rsidR="00BC0D16" w:rsidRPr="00BC0D16" w:rsidRDefault="00BC0D16" w:rsidP="009B34DB">
      <w:pPr>
        <w:ind w:firstLine="709"/>
        <w:jc w:val="both"/>
      </w:pPr>
      <w:r w:rsidRPr="00BC0D16">
        <w:lastRenderedPageBreak/>
        <w:t>Основными видами деятельности малого и среднего предпринимательства на территории района являются торговля, строительство, сфера услуг, пищевая промышленность.</w:t>
      </w:r>
    </w:p>
    <w:p w:rsidR="00BC0D16" w:rsidRPr="00BC0D16" w:rsidRDefault="00BC0D16" w:rsidP="009B34DB">
      <w:pPr>
        <w:ind w:firstLine="709"/>
        <w:jc w:val="both"/>
      </w:pPr>
      <w:r w:rsidRPr="00BC0D16">
        <w:t xml:space="preserve">Количество субъектов малого и среднего предпринимательства </w:t>
      </w:r>
      <w:r w:rsidR="00791789">
        <w:t xml:space="preserve">                            </w:t>
      </w:r>
      <w:r w:rsidRPr="00BC0D16">
        <w:t xml:space="preserve">на территории района в 2018 году составило 880 единицы, (в том числе индивидуальных предпринимателей – 560 единиц), в малом бизнесе по оценке трудятся 3 тысячи 800 человек. </w:t>
      </w:r>
    </w:p>
    <w:p w:rsidR="00BC0D16" w:rsidRPr="00BC0D16" w:rsidRDefault="00BC0D16" w:rsidP="009B34DB">
      <w:pPr>
        <w:ind w:firstLine="709"/>
        <w:jc w:val="both"/>
      </w:pPr>
      <w:proofErr w:type="gramStart"/>
      <w:r w:rsidRPr="00BC0D16">
        <w:t>В целях развития малого и среднего предпринимательства, Правительством Российской Федерации разработан национальный проект «Малое и среднее предпринимательство и поддержка индивидуальной предпринимательской инициативы», который направлен на увеличение численности занятых в малом и среднем бизнесе и предусматривает необходимые меры поддержки предпринимателю на каждом этапе жизненного цикла развития бизнеса: от появления идеи начать бизнес до реализации проектов.</w:t>
      </w:r>
      <w:proofErr w:type="gramEnd"/>
    </w:p>
    <w:p w:rsidR="00BC0D16" w:rsidRPr="00BC0D16" w:rsidRDefault="00BC0D16" w:rsidP="009B34DB">
      <w:pPr>
        <w:ind w:firstLine="709"/>
        <w:jc w:val="both"/>
        <w:rPr>
          <w:rFonts w:eastAsiaTheme="minorHAnsi"/>
          <w:lang w:eastAsia="en-US"/>
        </w:rPr>
      </w:pPr>
      <w:proofErr w:type="gramStart"/>
      <w:r w:rsidRPr="00BC0D16">
        <w:t xml:space="preserve">На территории района реализация и достижение целевых показателей </w:t>
      </w:r>
      <w:r w:rsidR="00791789">
        <w:t xml:space="preserve">                  </w:t>
      </w:r>
      <w:r w:rsidRPr="00BC0D16">
        <w:t xml:space="preserve">по национальному проекту «Малое и среднее предпринимательство и поддержка индивидуальной предпринимательской инициативы» предусмотрены </w:t>
      </w:r>
      <w:r w:rsidR="00791789">
        <w:t xml:space="preserve">                                 </w:t>
      </w:r>
      <w:r w:rsidRPr="00BC0D16">
        <w:t>в муниципальной программ</w:t>
      </w:r>
      <w:r w:rsidR="00791789">
        <w:t>е</w:t>
      </w:r>
      <w:r w:rsidRPr="00BC0D16">
        <w:t xml:space="preserve"> </w:t>
      </w:r>
      <w:r w:rsidRPr="00BC0D16">
        <w:rPr>
          <w:rFonts w:eastAsiaTheme="minorHAnsi"/>
          <w:lang w:eastAsia="en-US"/>
        </w:rPr>
        <w:t>«Развитие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w:t>
      </w:r>
      <w:r w:rsidRPr="00BC0D16">
        <w:t xml:space="preserve">, которая предусматривает формирование механизма финансово-кредитной и имущественной поддержки представителей малого и среднего бизнеса.  </w:t>
      </w:r>
      <w:proofErr w:type="gramEnd"/>
    </w:p>
    <w:p w:rsidR="00BC0D16" w:rsidRPr="00BC0D16" w:rsidRDefault="00BC0D16" w:rsidP="009B34DB">
      <w:pPr>
        <w:ind w:firstLine="709"/>
        <w:jc w:val="both"/>
      </w:pPr>
      <w:r w:rsidRPr="00BC0D16">
        <w:t xml:space="preserve">Вышеуказанные мероприятия будут способствовать увеличению количества субъектов предпринимательства и </w:t>
      </w:r>
      <w:proofErr w:type="gramStart"/>
      <w:r w:rsidRPr="00BC0D16">
        <w:t>численности</w:t>
      </w:r>
      <w:proofErr w:type="gramEnd"/>
      <w:r w:rsidRPr="00BC0D16">
        <w:t xml:space="preserve"> занятых в малом бизнесе. На 2020</w:t>
      </w:r>
      <w:r w:rsidR="00791789">
        <w:t>−</w:t>
      </w:r>
      <w:r w:rsidRPr="00BC0D16">
        <w:t xml:space="preserve">2025 годы прогнозируется ежегодное увеличение в среднем </w:t>
      </w:r>
      <w:r w:rsidR="00791789">
        <w:t xml:space="preserve">          </w:t>
      </w:r>
      <w:r w:rsidRPr="00BC0D16">
        <w:t xml:space="preserve">на 0,7% и к 2025 году количество субъектов составит 923 единицы, численность занятых </w:t>
      </w:r>
      <w:r w:rsidR="00791789">
        <w:t xml:space="preserve">− </w:t>
      </w:r>
      <w:r w:rsidRPr="00BC0D16">
        <w:t xml:space="preserve">3,9 тысяч человек. </w:t>
      </w:r>
    </w:p>
    <w:p w:rsidR="00BC0D16" w:rsidRPr="00BC0D16" w:rsidRDefault="00BC0D16" w:rsidP="009B34DB">
      <w:pPr>
        <w:ind w:firstLine="709"/>
        <w:jc w:val="both"/>
      </w:pPr>
      <w:r w:rsidRPr="00BC0D16">
        <w:t xml:space="preserve">Сфера розничной торговли и оказания платных услуг района представлена в основном субъектами малого бизнеса. </w:t>
      </w:r>
      <w:proofErr w:type="gramStart"/>
      <w:r w:rsidRPr="00BC0D16">
        <w:t>Оборот розничной торговли в 2018 году составил 2742,1 млн.</w:t>
      </w:r>
      <w:r w:rsidR="00791789">
        <w:t xml:space="preserve"> </w:t>
      </w:r>
      <w:r w:rsidRPr="00BC0D16">
        <w:t>руб., объем платных услуг населению по итогам 2018 года составил 1236,2 млн.</w:t>
      </w:r>
      <w:r w:rsidR="00791789">
        <w:t xml:space="preserve"> </w:t>
      </w:r>
      <w:r w:rsidRPr="00BC0D16">
        <w:t>руб. В 2019 году и прогнозный период 2020</w:t>
      </w:r>
      <w:r w:rsidR="00791789">
        <w:t>−</w:t>
      </w:r>
      <w:r w:rsidRPr="00BC0D16">
        <w:t xml:space="preserve">2025 годов планируемый рост доходов населения, меры государственной и муниципальной поддержки, оказываемые субъектам малого и среднего предпринимательства, позволяют спрогнозировать сохранение положительных тенденций </w:t>
      </w:r>
      <w:r w:rsidR="00791789">
        <w:t xml:space="preserve">                                 </w:t>
      </w:r>
      <w:r w:rsidRPr="00BC0D16">
        <w:t>на потребительском рынке.</w:t>
      </w:r>
      <w:proofErr w:type="gramEnd"/>
      <w:r w:rsidRPr="00BC0D16">
        <w:t xml:space="preserve"> </w:t>
      </w:r>
      <w:proofErr w:type="gramStart"/>
      <w:r w:rsidRPr="00BC0D16">
        <w:t>В 2019 году уровень товарооборота прогнозируется в размере 2 764,1 млн.</w:t>
      </w:r>
      <w:r w:rsidR="00791789">
        <w:t xml:space="preserve"> </w:t>
      </w:r>
      <w:r w:rsidRPr="00BC0D16">
        <w:t>рублей, что выше уровня 2018 года на 0,8 %, в прогнозный период уровень оборота розничной торговли оценивается в размерах: 2020 год – 2833,2 млн.</w:t>
      </w:r>
      <w:r w:rsidR="00791789">
        <w:t xml:space="preserve"> </w:t>
      </w:r>
      <w:r w:rsidRPr="00BC0D16">
        <w:t>рублей, 2021 год – 2909,7 млн.</w:t>
      </w:r>
      <w:r w:rsidR="00791789">
        <w:t xml:space="preserve"> </w:t>
      </w:r>
      <w:r w:rsidRPr="00BC0D16">
        <w:t>рублей, 2022 год – 2932,6 млн.</w:t>
      </w:r>
      <w:r w:rsidR="00791789">
        <w:t xml:space="preserve"> </w:t>
      </w:r>
      <w:r w:rsidRPr="00BC0D16">
        <w:t>рублей, 2023 год – 2964,9 млн.</w:t>
      </w:r>
      <w:r w:rsidR="00791789">
        <w:t xml:space="preserve"> </w:t>
      </w:r>
      <w:r w:rsidRPr="00BC0D16">
        <w:t>рублей, 2024 год – 3003,5 млн.</w:t>
      </w:r>
      <w:r w:rsidR="00791789">
        <w:t xml:space="preserve"> </w:t>
      </w:r>
      <w:r w:rsidRPr="00BC0D16">
        <w:t>рублей, 2025 год – 3041,0 млн.</w:t>
      </w:r>
      <w:r w:rsidR="00791789">
        <w:t xml:space="preserve"> </w:t>
      </w:r>
      <w:r w:rsidRPr="00BC0D16">
        <w:t>рублей.</w:t>
      </w:r>
      <w:proofErr w:type="gramEnd"/>
      <w:r w:rsidRPr="00BC0D16">
        <w:t xml:space="preserve"> Темп роста товарооборота к концу прогнозного периода составит 110,9% к уровню 2018 года.</w:t>
      </w:r>
    </w:p>
    <w:p w:rsidR="00BC0D16" w:rsidRPr="00BC0D16" w:rsidRDefault="00BC0D16" w:rsidP="009B34DB">
      <w:pPr>
        <w:ind w:firstLine="709"/>
        <w:jc w:val="both"/>
      </w:pPr>
      <w:proofErr w:type="gramStart"/>
      <w:r w:rsidRPr="00BC0D16">
        <w:lastRenderedPageBreak/>
        <w:t>Объем платных услуг населению в 2019 году по оценке составит 1302,9 млн.</w:t>
      </w:r>
      <w:r w:rsidR="00791789">
        <w:t xml:space="preserve"> </w:t>
      </w:r>
      <w:r w:rsidRPr="00BC0D16">
        <w:t>рублей, что выше уровня 2018 года на 5,4%, в прогнозный период объем платных услуг составит: 2020 год – 1315,3 млн.</w:t>
      </w:r>
      <w:r w:rsidR="00791789">
        <w:t xml:space="preserve"> </w:t>
      </w:r>
      <w:r w:rsidRPr="00BC0D16">
        <w:t>рублей, 2021 год – 1327,8 млн.</w:t>
      </w:r>
      <w:r w:rsidR="00791789">
        <w:t xml:space="preserve"> </w:t>
      </w:r>
      <w:r w:rsidRPr="00BC0D16">
        <w:t>рублей, 2022 год – 1340,5 млн.</w:t>
      </w:r>
      <w:r w:rsidR="00791789">
        <w:t xml:space="preserve"> </w:t>
      </w:r>
      <w:r w:rsidRPr="00BC0D16">
        <w:t>рублей, 2023 год – 1353,2 млн.</w:t>
      </w:r>
      <w:r w:rsidR="00791789">
        <w:t xml:space="preserve"> </w:t>
      </w:r>
      <w:r w:rsidRPr="00BC0D16">
        <w:t>рублей, 2024 год – 1368,9 млн.</w:t>
      </w:r>
      <w:r w:rsidR="00791789">
        <w:t xml:space="preserve"> </w:t>
      </w:r>
      <w:r w:rsidRPr="00BC0D16">
        <w:t>рублей, 2025 год – 1419,0 млн.</w:t>
      </w:r>
      <w:r w:rsidR="00791789">
        <w:t xml:space="preserve"> </w:t>
      </w:r>
      <w:r w:rsidRPr="00BC0D16">
        <w:t>рублей.</w:t>
      </w:r>
      <w:proofErr w:type="gramEnd"/>
      <w:r w:rsidRPr="00BC0D16">
        <w:t xml:space="preserve"> Темп роста объема платных услуг к концу прогнозного периода оценивается на уровне 114,8% к уровню 2018 года.</w:t>
      </w:r>
    </w:p>
    <w:p w:rsidR="00BC0D16" w:rsidRPr="00BC0D16" w:rsidRDefault="00BC0D16" w:rsidP="009B34DB">
      <w:pPr>
        <w:ind w:firstLine="709"/>
        <w:jc w:val="both"/>
      </w:pPr>
      <w:r w:rsidRPr="00BC0D16">
        <w:t>В 2018 году инфляция составила 2,0 %, в 2019 году инфляция на конец года прогнозируется на уровне 4,3%. В 2020</w:t>
      </w:r>
      <w:r w:rsidR="00791789">
        <w:t>−</w:t>
      </w:r>
      <w:r w:rsidRPr="00BC0D16">
        <w:t xml:space="preserve">2025 годы по базовому варианту инфляция составит: в 2020 году – 3,8%, 2021 году – 4,0%, 2022 году – 4,0%, 2023 году – 4,0%, 2024 году – 4,0%, 2025 – 4,0. </w:t>
      </w:r>
    </w:p>
    <w:p w:rsidR="00BC0D16" w:rsidRPr="00BC0D16" w:rsidRDefault="00BC0D16" w:rsidP="009B34DB">
      <w:pPr>
        <w:ind w:firstLine="709"/>
        <w:jc w:val="both"/>
      </w:pPr>
    </w:p>
    <w:p w:rsidR="00BC0D16" w:rsidRPr="00791789" w:rsidRDefault="00BC0D16" w:rsidP="00C3344F">
      <w:pPr>
        <w:jc w:val="center"/>
        <w:rPr>
          <w:b/>
        </w:rPr>
      </w:pPr>
      <w:r w:rsidRPr="00791789">
        <w:rPr>
          <w:b/>
        </w:rPr>
        <w:t>4. Уровень жизни населения</w:t>
      </w:r>
    </w:p>
    <w:p w:rsidR="00BC0D16" w:rsidRPr="00BC0D16" w:rsidRDefault="00BC0D16" w:rsidP="009B34DB">
      <w:pPr>
        <w:ind w:firstLine="709"/>
        <w:jc w:val="both"/>
      </w:pPr>
      <w:bookmarkStart w:id="1" w:name="_Toc449537836"/>
    </w:p>
    <w:bookmarkEnd w:id="1"/>
    <w:p w:rsidR="00BC0D16" w:rsidRPr="00BC0D16" w:rsidRDefault="00BC0D16" w:rsidP="009B34DB">
      <w:pPr>
        <w:ind w:firstLine="709"/>
        <w:jc w:val="both"/>
      </w:pPr>
      <w:r w:rsidRPr="00BC0D16">
        <w:t xml:space="preserve">Основными показателями уровня жизни населения являются доходы населения. Наибольшую долю учтенных доходов работающего населения составляют заработная плата (89,2% в общей сумме доходов населения). Для неработающего населения главный элемент доходов – социальные трансферты (пенсии, пособия и социальная помощь и др.) составляют 10,8 % в общей сумме доходов населения. </w:t>
      </w:r>
    </w:p>
    <w:p w:rsidR="00BC0D16" w:rsidRPr="00BC0D16" w:rsidRDefault="00BC0D16" w:rsidP="009B34DB">
      <w:pPr>
        <w:ind w:firstLine="709"/>
        <w:jc w:val="both"/>
      </w:pPr>
      <w:r w:rsidRPr="00BC0D16">
        <w:t>Среднедушевые денежные доходы населения в 2018 году составили 38100 рублей. В 2019 году по оценке среднедушевые денежные доходы населения составят 38600 рублей, что на 1,3% выше уровня доходов населения за 2018 год.</w:t>
      </w:r>
    </w:p>
    <w:p w:rsidR="00BC0D16" w:rsidRPr="00BC0D16" w:rsidRDefault="00BC0D16" w:rsidP="009B34DB">
      <w:pPr>
        <w:ind w:firstLine="709"/>
        <w:jc w:val="both"/>
      </w:pPr>
      <w:proofErr w:type="gramStart"/>
      <w:r w:rsidRPr="00BC0D16">
        <w:t xml:space="preserve">Обеспечению устойчивого роста реальных доходов населения </w:t>
      </w:r>
      <w:r w:rsidR="00791789">
        <w:t xml:space="preserve">                                   </w:t>
      </w:r>
      <w:r w:rsidRPr="00BC0D16">
        <w:t>в прогнозный период будут способствовать сохранение достигнутых уровней заработной платы отдельных категорий работников социальной сферы, определенных Указами Президент</w:t>
      </w:r>
      <w:r w:rsidR="00791789">
        <w:t>а</w:t>
      </w:r>
      <w:r w:rsidRPr="00BC0D16">
        <w:t xml:space="preserve"> Российской Федерации, установление </w:t>
      </w:r>
      <w:r w:rsidR="00791789">
        <w:t xml:space="preserve">                  </w:t>
      </w:r>
      <w:r w:rsidRPr="00BC0D16">
        <w:t xml:space="preserve">на федеральном уровне минимального размера оплаты труда в размере величины прожиточного минимума трудоспособного населения, проведение индексации заработной платы работников бюджетной сферы. </w:t>
      </w:r>
      <w:proofErr w:type="gramEnd"/>
    </w:p>
    <w:p w:rsidR="00BC0D16" w:rsidRPr="00BC0D16" w:rsidRDefault="00BC0D16" w:rsidP="009B34DB">
      <w:pPr>
        <w:ind w:firstLine="709"/>
        <w:jc w:val="both"/>
      </w:pPr>
      <w:proofErr w:type="gramStart"/>
      <w:r w:rsidRPr="00BC0D16">
        <w:t>На долгосрочный период прогнозируется рост среднедушевых доходов населения района, которые по оценке по базовому варианту составят в 2020 году – 39814 рублей, 2021 году – 41078 рублей, 2022 году – 42411 рублей, 2023 году – 43771 рублей, 2024 году – 45221 рублей, 2025 году – 46750 рублей.</w:t>
      </w:r>
      <w:proofErr w:type="gramEnd"/>
      <w:r w:rsidRPr="00BC0D16">
        <w:t xml:space="preserve"> Темп роста среднедушевых денежных доходов населения к концу 2024 года оценивается </w:t>
      </w:r>
      <w:r w:rsidR="00791789">
        <w:t xml:space="preserve">              </w:t>
      </w:r>
      <w:r w:rsidRPr="00BC0D16">
        <w:t>на уровне 22,7% к уровню 2018 года.</w:t>
      </w:r>
    </w:p>
    <w:p w:rsidR="00BC0D16" w:rsidRPr="00BC0D16" w:rsidRDefault="00BC0D16" w:rsidP="009B34DB">
      <w:pPr>
        <w:ind w:firstLine="709"/>
        <w:jc w:val="both"/>
      </w:pPr>
      <w:r w:rsidRPr="00BC0D16">
        <w:t>Рост среднедушевых доходов населения, а также предпринимаемые меры по выполнению Указа Президент</w:t>
      </w:r>
      <w:r w:rsidR="00791789">
        <w:t>а</w:t>
      </w:r>
      <w:r w:rsidRPr="00BC0D16">
        <w:t xml:space="preserve"> Российской </w:t>
      </w:r>
      <w:r w:rsidR="00791789">
        <w:t xml:space="preserve">Федерации </w:t>
      </w:r>
      <w:r w:rsidRPr="00BC0D16">
        <w:t>от 07.05.2018 № 204</w:t>
      </w:r>
      <w:r w:rsidR="00791789">
        <w:t>,</w:t>
      </w:r>
      <w:r w:rsidRPr="00BC0D16">
        <w:t xml:space="preserve"> будут способствовать устойчивому росту реальных доходов. В 2019 году уровень реальных доходов составит 100,00% к концу прогнозного периода 100,25%</w:t>
      </w:r>
      <w:r w:rsidR="00791789">
        <w:t>.</w:t>
      </w:r>
    </w:p>
    <w:p w:rsidR="00BC0D16" w:rsidRPr="00BC0D16" w:rsidRDefault="00BC0D16" w:rsidP="009B34DB">
      <w:pPr>
        <w:ind w:firstLine="709"/>
        <w:jc w:val="both"/>
      </w:pPr>
      <w:r w:rsidRPr="00BC0D16">
        <w:t xml:space="preserve">В 2018 году среднемесячная заработная плата по полному кругу составила 58550 рублей. В 2019 году по оценке среднемесячная заработная </w:t>
      </w:r>
      <w:r w:rsidRPr="00BC0D16">
        <w:lastRenderedPageBreak/>
        <w:t xml:space="preserve">плата </w:t>
      </w:r>
      <w:r w:rsidR="00791789">
        <w:t xml:space="preserve">                          </w:t>
      </w:r>
      <w:r w:rsidRPr="00BC0D16">
        <w:t xml:space="preserve">по полному кругу составит 61297 рублей, что выше на 4,7% уровня 2018 года. </w:t>
      </w:r>
    </w:p>
    <w:p w:rsidR="00BC0D16" w:rsidRPr="00BC0D16" w:rsidRDefault="00BC0D16" w:rsidP="009B34DB">
      <w:pPr>
        <w:ind w:firstLine="709"/>
        <w:jc w:val="both"/>
      </w:pPr>
      <w:proofErr w:type="gramStart"/>
      <w:r w:rsidRPr="00BC0D16">
        <w:t xml:space="preserve">В прогнозный период размер среднемесячной заработной платы </w:t>
      </w:r>
      <w:r w:rsidR="00791789">
        <w:t xml:space="preserve">                            </w:t>
      </w:r>
      <w:r w:rsidRPr="00BC0D16">
        <w:t>по базовому варианту составит: 2020 год – 63750 рублей, 2021 год – 66613 рублей, 2022 год – 69611 рублей, 2023 год – 72750 рублей, 2024 год – 76018 рублей, 2025 год – 79439 рублей.</w:t>
      </w:r>
      <w:proofErr w:type="gramEnd"/>
      <w:r w:rsidRPr="00BC0D16">
        <w:t xml:space="preserve"> Темп роста среднемесячной заработной платы к концу прогнозного периода оценивается на уровне  35,7% к уровню 2018 года.</w:t>
      </w:r>
    </w:p>
    <w:p w:rsidR="00BC0D16" w:rsidRPr="00BC0D16" w:rsidRDefault="00BC0D16" w:rsidP="009B34DB">
      <w:pPr>
        <w:ind w:firstLine="709"/>
        <w:jc w:val="both"/>
      </w:pPr>
      <w:r w:rsidRPr="00BC0D16">
        <w:t xml:space="preserve">С учетом позитивных ожиданий в отношении уровня инфляции  реальная заработная плата в 2019 году составит 100,10%, 2020 году – 100,30%, 2021 год – 100,40%, 2022 год – 100,49 %, 2023 год – 100,51%, 2024 год – 100,52%, 2025 год – 100,60%. </w:t>
      </w:r>
    </w:p>
    <w:p w:rsidR="00BC0D16" w:rsidRPr="00BC0D16" w:rsidRDefault="00BC0D16" w:rsidP="009B34DB">
      <w:pPr>
        <w:ind w:firstLine="709"/>
        <w:jc w:val="both"/>
      </w:pPr>
      <w:r w:rsidRPr="00BC0D16">
        <w:t xml:space="preserve">Повышение пенсионного возраста, индексация страховых пенсий темпами, превышающими инфляцию предшествующего года, позволит обеспечить ежегодное увеличение страховой пенсии неработающим пенсионерам. С 1 января 2019 года страховые пенсии неработающих пенсионеров увеличены на 7,05%, с 1 апреля 2019 года пенсии </w:t>
      </w:r>
      <w:r w:rsidR="00791789">
        <w:t xml:space="preserve">                                              </w:t>
      </w:r>
      <w:r w:rsidRPr="00BC0D16">
        <w:t xml:space="preserve">по государственному пенсионному обеспечению проиндексированы на 2,4%, </w:t>
      </w:r>
      <w:r w:rsidR="00791789">
        <w:t xml:space="preserve">               </w:t>
      </w:r>
      <w:r w:rsidRPr="00BC0D16">
        <w:t xml:space="preserve">с 1 августа 2019 года будет проведен перерасчет работающим пенсионерам </w:t>
      </w:r>
      <w:r w:rsidR="00791789">
        <w:t xml:space="preserve">                 </w:t>
      </w:r>
      <w:r w:rsidRPr="00BC0D16">
        <w:t>по суммам страховых взносов, заработанных в 2018 году.</w:t>
      </w:r>
    </w:p>
    <w:p w:rsidR="00BC0D16" w:rsidRPr="00BC0D16" w:rsidRDefault="00BC0D16" w:rsidP="009B34DB">
      <w:pPr>
        <w:ind w:firstLine="709"/>
        <w:jc w:val="both"/>
      </w:pPr>
      <w:r w:rsidRPr="00BC0D16">
        <w:t>В результате предпринимаемых мер по совершенствованию пенсионной системы, обеспечению роста уровня пенсий в 2019 году средний размер назначенной пенсии, согласно федеральному законодательству</w:t>
      </w:r>
      <w:r w:rsidR="00791789">
        <w:t>,</w:t>
      </w:r>
      <w:r w:rsidRPr="00BC0D16">
        <w:t xml:space="preserve"> составит 20987 рублей. За 2020</w:t>
      </w:r>
      <w:r w:rsidR="00791789">
        <w:t>−</w:t>
      </w:r>
      <w:r w:rsidRPr="00BC0D16">
        <w:t>2025 годы средний размер назначенной  пенсии в номинальном выражении вырастет на 21,5% и в 2025 году составит 24247 рубля.</w:t>
      </w:r>
    </w:p>
    <w:p w:rsidR="00BC0D16" w:rsidRPr="00BC0D16" w:rsidRDefault="00BC0D16" w:rsidP="009B34DB">
      <w:pPr>
        <w:ind w:firstLine="709"/>
        <w:jc w:val="both"/>
      </w:pPr>
    </w:p>
    <w:p w:rsidR="00BC0D16" w:rsidRPr="00791789" w:rsidRDefault="00BC0D16" w:rsidP="00C3344F">
      <w:pPr>
        <w:jc w:val="center"/>
        <w:rPr>
          <w:b/>
        </w:rPr>
      </w:pPr>
      <w:r w:rsidRPr="00791789">
        <w:rPr>
          <w:b/>
        </w:rPr>
        <w:t>5. Труд и занятость</w:t>
      </w:r>
    </w:p>
    <w:p w:rsidR="00BC0D16" w:rsidRPr="00BC0D16" w:rsidRDefault="00BC0D16" w:rsidP="009B34DB">
      <w:pPr>
        <w:ind w:firstLine="709"/>
        <w:jc w:val="both"/>
      </w:pPr>
    </w:p>
    <w:p w:rsidR="00BC0D16" w:rsidRPr="00BC0D16" w:rsidRDefault="00BC0D16" w:rsidP="009B34DB">
      <w:pPr>
        <w:ind w:firstLine="709"/>
        <w:jc w:val="both"/>
      </w:pPr>
      <w:r w:rsidRPr="00BC0D16">
        <w:t xml:space="preserve">В 2019 году по оценке численность занятых в экономике составит 46 тысяч 230 человек. Преобладающая часть занятого населения 42 тысячи 400 человек сосредоточена в крупных и средних предприятиях, в малом бизнесе по оценке трудятся 3 тысячи 800 человек. </w:t>
      </w:r>
    </w:p>
    <w:p w:rsidR="00BC0D16" w:rsidRPr="00BC0D16" w:rsidRDefault="00BC0D16" w:rsidP="009B34DB">
      <w:pPr>
        <w:ind w:firstLine="709"/>
        <w:jc w:val="both"/>
      </w:pPr>
      <w:r w:rsidRPr="00BC0D16">
        <w:t>Последние годы демографические ограничения, связанные с уменьшением численности населения трудоспособного возраста, все сильнее оказывали влияние на рынок труда. Принятый Федеральный закон от 3 октября 2018 г</w:t>
      </w:r>
      <w:r w:rsidR="00126733">
        <w:t>ода</w:t>
      </w:r>
      <w:r w:rsidRPr="00BC0D16">
        <w:t xml:space="preserve"> № 350-ФЗ «О внесении изменений в отдельные законодательные акты Российской Федерации по вопросам назначения и выплаты пенсий», который определяет порядок передвижки возрастной границы выхода на пенсию, создает </w:t>
      </w:r>
      <w:proofErr w:type="gramStart"/>
      <w:r w:rsidRPr="00BC0D16">
        <w:t>условия</w:t>
      </w:r>
      <w:proofErr w:type="gramEnd"/>
      <w:r w:rsidRPr="00BC0D16">
        <w:t xml:space="preserve"> как для стабильного увеличения пенсий неработающих пенсионеров, так и для смягчения дефицита рабочей силы, вызванного объективными демографическими тенденциями.</w:t>
      </w:r>
    </w:p>
    <w:p w:rsidR="00BC0D16" w:rsidRPr="00BC0D16" w:rsidRDefault="00BC0D16" w:rsidP="009B34DB">
      <w:pPr>
        <w:ind w:firstLine="709"/>
        <w:jc w:val="both"/>
      </w:pPr>
      <w:proofErr w:type="gramStart"/>
      <w:r w:rsidRPr="00BC0D16">
        <w:t xml:space="preserve">Это станет результатом повышения уровня экономической активности населения (в том числе в старших возрастах), благодаря увеличению </w:t>
      </w:r>
      <w:r w:rsidRPr="00BC0D16">
        <w:lastRenderedPageBreak/>
        <w:t>продолжительности здоровой жизни в совокупности с повышением пенсионного возраста.</w:t>
      </w:r>
      <w:proofErr w:type="gramEnd"/>
    </w:p>
    <w:p w:rsidR="00BC0D16" w:rsidRPr="00BC0D16" w:rsidRDefault="00BC0D16" w:rsidP="009B34DB">
      <w:pPr>
        <w:ind w:firstLine="709"/>
        <w:jc w:val="both"/>
      </w:pPr>
      <w:r w:rsidRPr="00BC0D16">
        <w:t>Кроме того, в целях улучшения ситуации будет реализован комплекс мер, направленных на поддержание уровня занятости населения, включая:</w:t>
      </w:r>
    </w:p>
    <w:p w:rsidR="00BC0D16" w:rsidRPr="00BC0D16" w:rsidRDefault="00BC0D16" w:rsidP="009B34DB">
      <w:pPr>
        <w:ind w:firstLine="709"/>
        <w:jc w:val="both"/>
      </w:pPr>
      <w:r w:rsidRPr="00BC0D16">
        <w:t>повышение эффективности активных программ на рынке труда</w:t>
      </w:r>
      <w:r w:rsidR="00126733">
        <w:t>;</w:t>
      </w:r>
    </w:p>
    <w:p w:rsidR="00BC0D16" w:rsidRPr="00BC0D16" w:rsidRDefault="00BC0D16" w:rsidP="009B34DB">
      <w:pPr>
        <w:ind w:firstLine="709"/>
        <w:jc w:val="both"/>
      </w:pPr>
      <w:r w:rsidRPr="00BC0D16">
        <w:t xml:space="preserve">совершенствование системы государственных гарантий и механизмов защиты от безработицы, в том числе повышение размеров пособия </w:t>
      </w:r>
      <w:r w:rsidR="00126733">
        <w:t xml:space="preserve">                              </w:t>
      </w:r>
      <w:r w:rsidRPr="00BC0D16">
        <w:t>по безработице;</w:t>
      </w:r>
    </w:p>
    <w:p w:rsidR="00BC0D16" w:rsidRPr="00BC0D16" w:rsidRDefault="00BC0D16" w:rsidP="009B34DB">
      <w:pPr>
        <w:ind w:firstLine="709"/>
        <w:jc w:val="both"/>
      </w:pPr>
      <w:r w:rsidRPr="00BC0D16">
        <w:t xml:space="preserve">вовлечение в трудовую деятельность категорий граждан, испытывающих трудности при трудоустройстве, граждан старшего поколения, инвалидов, </w:t>
      </w:r>
      <w:r w:rsidR="00126733">
        <w:t xml:space="preserve">                     </w:t>
      </w:r>
      <w:r w:rsidRPr="00BC0D16">
        <w:t>а также лиц, находящихся в отпуске по уходу за ребенком.</w:t>
      </w:r>
    </w:p>
    <w:p w:rsidR="00BC0D16" w:rsidRPr="00BC0D16" w:rsidRDefault="00BC0D16" w:rsidP="009B34DB">
      <w:pPr>
        <w:ind w:firstLine="709"/>
        <w:jc w:val="both"/>
      </w:pPr>
      <w:proofErr w:type="gramStart"/>
      <w:r w:rsidRPr="00BC0D16">
        <w:t>На территории района продолжится реализация государственной программы ХМАО – Югры «Поддержка занятости населения» и муниципальных программ района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в  2016</w:t>
      </w:r>
      <w:r w:rsidR="00126733">
        <w:t>−</w:t>
      </w:r>
      <w:r w:rsidRPr="00BC0D16">
        <w:t xml:space="preserve">2020 годах», «Устойчивое развитие коренных малочисленных народов Севера </w:t>
      </w:r>
      <w:r w:rsidR="00126733">
        <w:t xml:space="preserve">                                         </w:t>
      </w:r>
      <w:r w:rsidRPr="00BC0D16">
        <w:t>в Нижневартовском районе», которые способствуют трудоустройству незанятых трудовой деятельностью и безработных граждан, в том числе женщин, находящихся</w:t>
      </w:r>
      <w:proofErr w:type="gramEnd"/>
      <w:r w:rsidRPr="00BC0D16">
        <w:t xml:space="preserve"> в отпуске по уходу за ребенком.</w:t>
      </w:r>
    </w:p>
    <w:p w:rsidR="00BC0D16" w:rsidRPr="00BC0D16" w:rsidRDefault="00BC0D16" w:rsidP="009B34DB">
      <w:pPr>
        <w:ind w:firstLine="709"/>
        <w:jc w:val="both"/>
      </w:pPr>
      <w:proofErr w:type="gramStart"/>
      <w:r w:rsidRPr="00BC0D16">
        <w:t>Учитывая меры, направленные на поддержку занятости населения, в том числе государственн</w:t>
      </w:r>
      <w:r w:rsidR="00126733">
        <w:t>ую</w:t>
      </w:r>
      <w:r w:rsidRPr="00BC0D16">
        <w:t xml:space="preserve"> политик</w:t>
      </w:r>
      <w:r w:rsidR="00126733">
        <w:t>у</w:t>
      </w:r>
      <w:r w:rsidRPr="00BC0D16">
        <w:t xml:space="preserve"> в сфере занятости, увеличение продолжительности здоровой жизни в совокупности с повышением пенсионного возраста, предпринимательская активность населения, численность занятых </w:t>
      </w:r>
      <w:r w:rsidR="00126733">
        <w:t xml:space="preserve">                  </w:t>
      </w:r>
      <w:r w:rsidRPr="00BC0D16">
        <w:t xml:space="preserve">в экономике будет увеличиваться и к 2025 году достигнет отметки по базовому варианту 46 тысяч 510 человек. </w:t>
      </w:r>
      <w:proofErr w:type="gramEnd"/>
    </w:p>
    <w:p w:rsidR="00BC0D16" w:rsidRPr="00BC0D16" w:rsidRDefault="00BC0D16" w:rsidP="009B34DB">
      <w:pPr>
        <w:ind w:firstLine="709"/>
        <w:jc w:val="both"/>
      </w:pPr>
      <w:r w:rsidRPr="00BC0D16">
        <w:t xml:space="preserve">По оценке уровень зарегистрированной безработицы на 01.01.2020 составит 0,14% с учетом высвобождения до конца года заявленных работников. </w:t>
      </w:r>
      <w:proofErr w:type="gramStart"/>
      <w:r w:rsidRPr="00BC0D16">
        <w:t xml:space="preserve">Результаты проведенного мониторинга высвобождения работников </w:t>
      </w:r>
      <w:r w:rsidR="00126733">
        <w:t xml:space="preserve">                                 </w:t>
      </w:r>
      <w:r w:rsidRPr="00BC0D16">
        <w:t>из организаций района, еженедельного мониторинга ситуации на рынке труда, отсутствие информации о массовых высвобождениях жителей района позволяют оценить уровень зарегистрированной безработицы в районе и в прогнозном периоде на уровне 0,14% от экономически активного населения района.</w:t>
      </w:r>
      <w:proofErr w:type="gramEnd"/>
    </w:p>
    <w:p w:rsidR="00BC0D16" w:rsidRPr="00BC0D16" w:rsidRDefault="00BC0D16" w:rsidP="009B34DB">
      <w:pPr>
        <w:ind w:firstLine="709"/>
        <w:jc w:val="both"/>
      </w:pPr>
    </w:p>
    <w:p w:rsidR="00BC0D16" w:rsidRPr="00126733" w:rsidRDefault="00BC0D16" w:rsidP="00C3344F">
      <w:pPr>
        <w:jc w:val="center"/>
        <w:rPr>
          <w:b/>
        </w:rPr>
      </w:pPr>
      <w:r w:rsidRPr="00126733">
        <w:rPr>
          <w:b/>
        </w:rPr>
        <w:t>6.</w:t>
      </w:r>
      <w:r w:rsidR="008C180F">
        <w:rPr>
          <w:b/>
        </w:rPr>
        <w:t xml:space="preserve"> </w:t>
      </w:r>
      <w:r w:rsidRPr="00126733">
        <w:rPr>
          <w:b/>
        </w:rPr>
        <w:t>Демография</w:t>
      </w:r>
    </w:p>
    <w:p w:rsidR="00BC0D16" w:rsidRPr="00126733" w:rsidRDefault="00BC0D16" w:rsidP="00126733">
      <w:pPr>
        <w:ind w:firstLine="709"/>
        <w:jc w:val="center"/>
        <w:rPr>
          <w:b/>
        </w:rPr>
      </w:pPr>
    </w:p>
    <w:p w:rsidR="00BC0D16" w:rsidRPr="00BC0D16" w:rsidRDefault="00BC0D16" w:rsidP="009B34DB">
      <w:pPr>
        <w:ind w:firstLine="709"/>
        <w:jc w:val="both"/>
      </w:pPr>
      <w:r w:rsidRPr="00BC0D16">
        <w:t xml:space="preserve">Прогноз показателей, характеризующих демографическую ситуацию </w:t>
      </w:r>
      <w:r w:rsidR="008C180F">
        <w:t xml:space="preserve">                  </w:t>
      </w:r>
      <w:r w:rsidRPr="00BC0D16">
        <w:t xml:space="preserve">на территории района, базируется на основе сложившейся возрастно-половой структуры населения, существующих и предполагаемых уровнях рождаемости </w:t>
      </w:r>
      <w:r w:rsidR="008C180F">
        <w:t xml:space="preserve"> </w:t>
      </w:r>
      <w:r w:rsidRPr="00BC0D16">
        <w:t xml:space="preserve">и смертности, а также динамики миграционных потоков. </w:t>
      </w:r>
    </w:p>
    <w:p w:rsidR="00BC0D16" w:rsidRPr="00BC0D16" w:rsidRDefault="00BC0D16" w:rsidP="009B34DB">
      <w:pPr>
        <w:ind w:firstLine="709"/>
        <w:jc w:val="both"/>
      </w:pPr>
      <w:r w:rsidRPr="00BC0D16">
        <w:t xml:space="preserve">По итогам 2018 года численность населения района сложилась на уровне 35 993 человека. По оценке в разрезе возрастных групп население распределилось следующим образом: доля населения моложе трудоспособного </w:t>
      </w:r>
      <w:r w:rsidRPr="00BC0D16">
        <w:lastRenderedPageBreak/>
        <w:t xml:space="preserve">возраста составила 20,0%; трудоспособного возраста – 63,94%; старше трудоспособного возраста – 16,06%. В прогнозируемый период в связи </w:t>
      </w:r>
      <w:r w:rsidR="008C180F">
        <w:t xml:space="preserve">                            </w:t>
      </w:r>
      <w:r w:rsidRPr="00BC0D16">
        <w:t xml:space="preserve">с повышением пенсионного возраста возрастная структура населения района трансформируется в сторону </w:t>
      </w:r>
      <w:proofErr w:type="gramStart"/>
      <w:r w:rsidRPr="00BC0D16">
        <w:t>увеличения численности населения трудоспособного возраста</w:t>
      </w:r>
      <w:proofErr w:type="gramEnd"/>
      <w:r w:rsidRPr="00BC0D16">
        <w:t>.</w:t>
      </w:r>
    </w:p>
    <w:p w:rsidR="00BC0D16" w:rsidRPr="00BC0D16" w:rsidRDefault="00BC0D16" w:rsidP="009B34DB">
      <w:pPr>
        <w:ind w:firstLine="709"/>
        <w:jc w:val="both"/>
      </w:pPr>
      <w:proofErr w:type="gramStart"/>
      <w:r w:rsidRPr="00BC0D16">
        <w:t xml:space="preserve">Влияющим фактором на положительную динамику показателя численности населения района выступает естественный прирост населения, который составил за 2018 год 123 человека, </w:t>
      </w:r>
      <w:r w:rsidR="001E7A04">
        <w:t xml:space="preserve">за счет </w:t>
      </w:r>
      <w:r w:rsidRPr="00BC0D16">
        <w:t>превышени</w:t>
      </w:r>
      <w:r w:rsidR="001E7A04">
        <w:t>я</w:t>
      </w:r>
      <w:r w:rsidRPr="00BC0D16">
        <w:t xml:space="preserve"> рождаемости над смертностью населения на территории района в 1,6 раз.</w:t>
      </w:r>
      <w:proofErr w:type="gramEnd"/>
      <w:r w:rsidRPr="00BC0D16">
        <w:t xml:space="preserve"> Стоит отметить, что естественный прирост населения характерен и для поселков городского типа, и для сельской местности. При этом численность городского населения по итогам 2018 года составила 29 267 человек (81,3% от общей численности населения), а численность сельского населения составила 6 726 человек (18,7%). На динамику численности населения также влияет значение миграционного прироста (убыли) населения, который в районе в последние годы имеет отрицательное сальдо, в том числе 2018 год – 260 человек.  </w:t>
      </w:r>
    </w:p>
    <w:p w:rsidR="00BC0D16" w:rsidRPr="00BC0D16" w:rsidRDefault="00BC0D16" w:rsidP="009B34DB">
      <w:pPr>
        <w:ind w:firstLine="709"/>
        <w:jc w:val="both"/>
      </w:pPr>
      <w:r w:rsidRPr="00BC0D16">
        <w:t xml:space="preserve">В целях стабилизации демографической ситуации, одним из инструментов </w:t>
      </w:r>
      <w:proofErr w:type="gramStart"/>
      <w:r w:rsidRPr="00BC0D16">
        <w:t>реализации Основных направлений деятельности Правительства Российской Федерации</w:t>
      </w:r>
      <w:proofErr w:type="gramEnd"/>
      <w:r w:rsidRPr="00BC0D16">
        <w:t xml:space="preserve"> до 2024 года разработан национальный проект «Демография», который направлен на достижение целей по повышению рождаемости, снижению смертности населения, продолжительности здоровой жизни. </w:t>
      </w:r>
    </w:p>
    <w:p w:rsidR="00BC0D16" w:rsidRPr="00BC0D16" w:rsidRDefault="00BC0D16" w:rsidP="009B34DB">
      <w:pPr>
        <w:ind w:firstLine="709"/>
        <w:jc w:val="both"/>
      </w:pPr>
      <w:r w:rsidRPr="00BC0D16">
        <w:t xml:space="preserve">Будут осуществляться меры, направленные </w:t>
      </w:r>
      <w:proofErr w:type="gramStart"/>
      <w:r w:rsidRPr="00BC0D16">
        <w:t>на</w:t>
      </w:r>
      <w:proofErr w:type="gramEnd"/>
      <w:r w:rsidRPr="00BC0D16">
        <w:t xml:space="preserve">: </w:t>
      </w:r>
    </w:p>
    <w:p w:rsidR="00BC0D16" w:rsidRPr="00BC0D16" w:rsidRDefault="00BC0D16" w:rsidP="009B34DB">
      <w:pPr>
        <w:ind w:firstLine="709"/>
        <w:jc w:val="both"/>
      </w:pPr>
      <w:r w:rsidRPr="00BC0D16">
        <w:t xml:space="preserve">финансовую поддержку семей с детьми; </w:t>
      </w:r>
    </w:p>
    <w:p w:rsidR="00BC0D16" w:rsidRPr="00BC0D16" w:rsidRDefault="00BC0D16" w:rsidP="009B34DB">
      <w:pPr>
        <w:ind w:firstLine="709"/>
        <w:jc w:val="both"/>
      </w:pPr>
      <w:r w:rsidRPr="00BC0D16">
        <w:t xml:space="preserve">создание условий для осуществления трудовой деятельности женщин </w:t>
      </w:r>
      <w:r w:rsidR="001710DD">
        <w:t xml:space="preserve">                   </w:t>
      </w:r>
      <w:r w:rsidRPr="00BC0D16">
        <w:t xml:space="preserve">с детьми, </w:t>
      </w:r>
    </w:p>
    <w:p w:rsidR="00BC0D16" w:rsidRPr="00BC0D16" w:rsidRDefault="00BC0D16" w:rsidP="009B34DB">
      <w:pPr>
        <w:ind w:firstLine="709"/>
        <w:jc w:val="both"/>
      </w:pPr>
      <w:r w:rsidRPr="00BC0D16">
        <w:t>обеспечение 100-процентной доступности в 2021 году дошкольного образования для детей в возрасте до трех лет;</w:t>
      </w:r>
    </w:p>
    <w:p w:rsidR="00BC0D16" w:rsidRPr="00BC0D16" w:rsidRDefault="00BC0D16" w:rsidP="009B34DB">
      <w:pPr>
        <w:ind w:firstLine="709"/>
        <w:jc w:val="both"/>
      </w:pPr>
      <w:proofErr w:type="gramStart"/>
      <w:r w:rsidRPr="00BC0D16">
        <w:t>создание для всех категорий и групп населения условий для занятий физической культурой и спортом, массовым спортом за счет повышения уровня обеспеченности населения объектами спорта.</w:t>
      </w:r>
      <w:proofErr w:type="gramEnd"/>
    </w:p>
    <w:p w:rsidR="00BC0D16" w:rsidRPr="00BC0D16" w:rsidRDefault="00BC0D16" w:rsidP="009B34DB">
      <w:pPr>
        <w:ind w:firstLine="709"/>
        <w:jc w:val="both"/>
      </w:pPr>
      <w:proofErr w:type="gramStart"/>
      <w:r w:rsidRPr="00BC0D16">
        <w:t xml:space="preserve">В Нижневартовском районе в муниципальных программах «Развитие образования в Нижневартовском районе», «Развитие физической культуры </w:t>
      </w:r>
      <w:r w:rsidR="001710DD">
        <w:t xml:space="preserve">                    </w:t>
      </w:r>
      <w:r w:rsidRPr="00BC0D16">
        <w:t>и спорта в Нижневартовском районе» предусмотрена реализация и достижение целевых показателей по национальному проекту «Демография»:</w:t>
      </w:r>
      <w:proofErr w:type="gramEnd"/>
    </w:p>
    <w:p w:rsidR="00BC0D16" w:rsidRPr="00BC0D16" w:rsidRDefault="00BC0D16" w:rsidP="009B34DB">
      <w:pPr>
        <w:ind w:firstLine="709"/>
        <w:jc w:val="both"/>
      </w:pPr>
      <w:r w:rsidRPr="00BC0D16">
        <w:t xml:space="preserve">доступность дошкольного образования </w:t>
      </w:r>
      <w:proofErr w:type="gramStart"/>
      <w:r w:rsidRPr="00BC0D16">
        <w:t xml:space="preserve">для детей в возрасте от полутора </w:t>
      </w:r>
      <w:r w:rsidR="001710DD">
        <w:t xml:space="preserve">     </w:t>
      </w:r>
      <w:r w:rsidRPr="00BC0D16">
        <w:t>до трех лет</w:t>
      </w:r>
      <w:proofErr w:type="gramEnd"/>
      <w:r w:rsidRPr="00BC0D16">
        <w:t xml:space="preserve"> на территории района составляет 100%;</w:t>
      </w:r>
    </w:p>
    <w:p w:rsidR="00BC0D16" w:rsidRPr="00BC0D16" w:rsidRDefault="00BC0D16" w:rsidP="009B34DB">
      <w:pPr>
        <w:ind w:firstLine="709"/>
        <w:jc w:val="both"/>
      </w:pPr>
      <w:r w:rsidRPr="00BC0D16">
        <w:t>доведение к 2024 году до 63% доли граждан, систематически занимающихся физической культурой и спортом, на территории района в 2019 год</w:t>
      </w:r>
      <w:r w:rsidR="001710DD">
        <w:t>у</w:t>
      </w:r>
      <w:r w:rsidRPr="00BC0D16">
        <w:t xml:space="preserve"> </w:t>
      </w:r>
      <w:r w:rsidR="001710DD">
        <w:t>−</w:t>
      </w:r>
      <w:r w:rsidRPr="00BC0D16">
        <w:t xml:space="preserve"> 50,6%, к 2024 году </w:t>
      </w:r>
      <w:r w:rsidR="001710DD">
        <w:t xml:space="preserve">− </w:t>
      </w:r>
      <w:r w:rsidRPr="00BC0D16">
        <w:t>63%.</w:t>
      </w:r>
    </w:p>
    <w:p w:rsidR="00BC0D16" w:rsidRPr="00BC0D16" w:rsidRDefault="00BC0D16" w:rsidP="009B34DB">
      <w:pPr>
        <w:ind w:firstLine="709"/>
        <w:jc w:val="both"/>
      </w:pPr>
      <w:r w:rsidRPr="00BC0D16">
        <w:t xml:space="preserve">В части снижения смертности Правительством Российской Федерации разработан национальный проект «Здравоохранение», который направлен </w:t>
      </w:r>
      <w:r w:rsidR="001710DD">
        <w:t xml:space="preserve">                   </w:t>
      </w:r>
      <w:r w:rsidRPr="00BC0D16">
        <w:t xml:space="preserve">на снижение смертности населения. </w:t>
      </w:r>
    </w:p>
    <w:p w:rsidR="00BC0D16" w:rsidRPr="00BC0D16" w:rsidRDefault="00BC0D16" w:rsidP="009B34DB">
      <w:pPr>
        <w:ind w:firstLine="709"/>
        <w:jc w:val="both"/>
      </w:pPr>
      <w:proofErr w:type="gramStart"/>
      <w:r w:rsidRPr="00BC0D16">
        <w:t xml:space="preserve">Вышеуказанные мероприятия, направленные на снижение преждевременной смертности, повышение уровня рождаемости, формирование </w:t>
      </w:r>
      <w:r w:rsidRPr="00BC0D16">
        <w:lastRenderedPageBreak/>
        <w:t>мотивации к здоровому образу жизни, стимулирование к занятиям физкультурой и спортом</w:t>
      </w:r>
      <w:r w:rsidR="001710DD">
        <w:t>,</w:t>
      </w:r>
      <w:r w:rsidRPr="00BC0D16">
        <w:t xml:space="preserve"> позволяют прогнозировать рост численности населения </w:t>
      </w:r>
      <w:r w:rsidR="001710DD">
        <w:t xml:space="preserve">                                    </w:t>
      </w:r>
      <w:r w:rsidRPr="00BC0D16">
        <w:t>в прогнозируемом периоде.</w:t>
      </w:r>
      <w:proofErr w:type="gramEnd"/>
      <w:r w:rsidRPr="00BC0D16">
        <w:t xml:space="preserve"> По оценке в 2019 году среднегодовая численность населения составит</w:t>
      </w:r>
      <w:r w:rsidR="001710DD">
        <w:t xml:space="preserve"> 35 996 человек, а к 2025 году −</w:t>
      </w:r>
      <w:r w:rsidRPr="00BC0D16">
        <w:t xml:space="preserve"> 36 152 человека по базовому варианту.</w:t>
      </w:r>
    </w:p>
    <w:p w:rsidR="00BC0D16" w:rsidRPr="00BC0D16" w:rsidRDefault="00BC0D16" w:rsidP="009B34DB">
      <w:pPr>
        <w:ind w:firstLine="709"/>
        <w:jc w:val="both"/>
      </w:pPr>
    </w:p>
    <w:p w:rsidR="00BC0D16" w:rsidRPr="001710DD" w:rsidRDefault="00BC0D16" w:rsidP="00C3344F">
      <w:pPr>
        <w:jc w:val="center"/>
        <w:rPr>
          <w:b/>
        </w:rPr>
      </w:pPr>
      <w:r w:rsidRPr="001710DD">
        <w:rPr>
          <w:b/>
        </w:rPr>
        <w:t>7. Социальная сфера</w:t>
      </w:r>
    </w:p>
    <w:p w:rsidR="00BC0D16" w:rsidRPr="00BC0D16" w:rsidRDefault="00BC0D16" w:rsidP="009B34DB">
      <w:pPr>
        <w:ind w:firstLine="709"/>
        <w:jc w:val="both"/>
      </w:pPr>
    </w:p>
    <w:p w:rsidR="00BC0D16" w:rsidRPr="00BC0D16" w:rsidRDefault="00BC0D16" w:rsidP="009B34DB">
      <w:pPr>
        <w:ind w:firstLine="709"/>
        <w:jc w:val="both"/>
      </w:pPr>
      <w:r w:rsidRPr="00BC0D16">
        <w:t>Развитие отраслей социальной сферы способствует удовлетворению социальных потребностей населения в образовании, культуре, физической культуре и спорте. </w:t>
      </w:r>
    </w:p>
    <w:p w:rsidR="00BC0D16" w:rsidRPr="00BC0D16" w:rsidRDefault="00BC0D16" w:rsidP="009B34DB">
      <w:pPr>
        <w:ind w:firstLine="709"/>
        <w:jc w:val="both"/>
      </w:pPr>
      <w:proofErr w:type="gramStart"/>
      <w:r w:rsidRPr="00BC0D16">
        <w:t>В</w:t>
      </w:r>
      <w:proofErr w:type="gramEnd"/>
      <w:r w:rsidRPr="00BC0D16">
        <w:t xml:space="preserve"> </w:t>
      </w:r>
      <w:proofErr w:type="gramStart"/>
      <w:r w:rsidRPr="00BC0D16">
        <w:t>Нижневартовском</w:t>
      </w:r>
      <w:proofErr w:type="gramEnd"/>
      <w:r w:rsidRPr="00BC0D16">
        <w:t xml:space="preserve"> районе функционируют:</w:t>
      </w:r>
    </w:p>
    <w:p w:rsidR="00BC0D16" w:rsidRPr="00BC0D16" w:rsidRDefault="00BC0D16" w:rsidP="009B34DB">
      <w:pPr>
        <w:ind w:firstLine="709"/>
        <w:jc w:val="both"/>
      </w:pPr>
      <w:r w:rsidRPr="00BC0D16">
        <w:t>24 образовательных учреждения, в том числе 6 дошкольных учреждений, 17 общеобразовательных учреждений (в 10 учреждениях реализуются программы дошкольного образования), 1 учреждение дополнительного образования детей;</w:t>
      </w:r>
    </w:p>
    <w:p w:rsidR="00BC0D16" w:rsidRPr="00BC0D16" w:rsidRDefault="00BC0D16" w:rsidP="009B34DB">
      <w:pPr>
        <w:ind w:firstLine="709"/>
        <w:jc w:val="both"/>
      </w:pPr>
      <w:r w:rsidRPr="00BC0D16">
        <w:t xml:space="preserve">20 муниципальных учреждений культуры и искусства, в том числе </w:t>
      </w:r>
      <w:r w:rsidR="001710DD">
        <w:t xml:space="preserve">                          </w:t>
      </w:r>
      <w:r w:rsidRPr="00BC0D16">
        <w:t xml:space="preserve">5 детских школ искусств; </w:t>
      </w:r>
    </w:p>
    <w:p w:rsidR="00BC0D16" w:rsidRPr="00BC0D16" w:rsidRDefault="00BC0D16" w:rsidP="009B34DB">
      <w:pPr>
        <w:ind w:firstLine="709"/>
        <w:jc w:val="both"/>
      </w:pPr>
      <w:r w:rsidRPr="00BC0D16">
        <w:t xml:space="preserve">2 </w:t>
      </w:r>
      <w:proofErr w:type="gramStart"/>
      <w:r w:rsidRPr="00BC0D16">
        <w:t>детско-юношеских</w:t>
      </w:r>
      <w:proofErr w:type="gramEnd"/>
      <w:r w:rsidRPr="00BC0D16">
        <w:t xml:space="preserve"> спортивных школы.</w:t>
      </w:r>
    </w:p>
    <w:p w:rsidR="00BC0D16" w:rsidRPr="00BC0D16" w:rsidRDefault="00BC0D16" w:rsidP="009B34DB">
      <w:pPr>
        <w:ind w:firstLine="709"/>
        <w:jc w:val="both"/>
      </w:pPr>
      <w:r w:rsidRPr="00BC0D16">
        <w:t xml:space="preserve">В общеобразовательных учреждениях района обучается 3800 человек (2017/2018 учебный год – 3 802 человек). Дошкольным образованием охвачено 2 198 детей. Обеспечено обучение 78 детей с ограниченными возможностями здоровья по адаптивным программам, а также 25 детей обучается на дому </w:t>
      </w:r>
      <w:r w:rsidR="001710DD">
        <w:t xml:space="preserve">                    </w:t>
      </w:r>
      <w:r w:rsidRPr="00BC0D16">
        <w:t>по индивидуальным учебным планам.</w:t>
      </w:r>
    </w:p>
    <w:p w:rsidR="00BC0D16" w:rsidRPr="00BC0D16" w:rsidRDefault="00BC0D16" w:rsidP="009B34DB">
      <w:pPr>
        <w:ind w:firstLine="709"/>
        <w:jc w:val="both"/>
      </w:pPr>
      <w:r w:rsidRPr="00BC0D16">
        <w:t>Дополнительным образованием в сфере культуры охвачено 1023 ребенка, в сфере физической культуры и спорта охвачено 6008 человек.</w:t>
      </w:r>
    </w:p>
    <w:p w:rsidR="00BC0D16" w:rsidRPr="00BC0D16" w:rsidRDefault="00BC0D16" w:rsidP="009B34DB">
      <w:pPr>
        <w:ind w:firstLine="709"/>
        <w:jc w:val="both"/>
      </w:pPr>
      <w:r w:rsidRPr="00BC0D16">
        <w:t>Положительными результатами в социальной сфере можно отметить следующее:</w:t>
      </w:r>
    </w:p>
    <w:p w:rsidR="00BC0D16" w:rsidRPr="00BC0D16" w:rsidRDefault="00BC0D16" w:rsidP="009B34DB">
      <w:pPr>
        <w:ind w:firstLine="709"/>
        <w:jc w:val="both"/>
      </w:pPr>
      <w:r w:rsidRPr="00BC0D16">
        <w:t>уровень обеспеченности местами в детских садах детей в возрасте от 3-х до 7-ми лет составил 100%;</w:t>
      </w:r>
    </w:p>
    <w:p w:rsidR="00BC0D16" w:rsidRPr="00BC0D16" w:rsidRDefault="00BC0D16" w:rsidP="009B34DB">
      <w:pPr>
        <w:ind w:firstLine="709"/>
        <w:jc w:val="both"/>
      </w:pPr>
      <w:r w:rsidRPr="00BC0D16">
        <w:t>все обучающиеся общеобразовательных учреждений учатся в первую смену;</w:t>
      </w:r>
    </w:p>
    <w:p w:rsidR="00BC0D16" w:rsidRPr="00BC0D16" w:rsidRDefault="00BC0D16" w:rsidP="009B34DB">
      <w:pPr>
        <w:ind w:firstLine="709"/>
        <w:jc w:val="both"/>
      </w:pPr>
      <w:r w:rsidRPr="00BC0D16">
        <w:t xml:space="preserve">обеспеченность зданий </w:t>
      </w:r>
      <w:proofErr w:type="spellStart"/>
      <w:r w:rsidRPr="00BC0D16">
        <w:t>безбарьерным</w:t>
      </w:r>
      <w:proofErr w:type="spellEnd"/>
      <w:r w:rsidRPr="00BC0D16">
        <w:t xml:space="preserve"> доступом для детей </w:t>
      </w:r>
      <w:r w:rsidR="001710DD">
        <w:t xml:space="preserve">                                            </w:t>
      </w:r>
      <w:r w:rsidRPr="00BC0D16">
        <w:t>с ограниченными возможностями здоровья составляет 100%;</w:t>
      </w:r>
    </w:p>
    <w:p w:rsidR="00BC0D16" w:rsidRPr="00BC0D16" w:rsidRDefault="00BC0D16" w:rsidP="009B34DB">
      <w:pPr>
        <w:ind w:firstLine="709"/>
        <w:jc w:val="both"/>
      </w:pPr>
      <w:r w:rsidRPr="00BC0D16">
        <w:t xml:space="preserve">обеспеченность спортивными сооружениями от российского норматива составляет: </w:t>
      </w:r>
    </w:p>
    <w:p w:rsidR="00BC0D16" w:rsidRPr="00BC0D16" w:rsidRDefault="00BC0D16" w:rsidP="009B34DB">
      <w:pPr>
        <w:ind w:firstLine="709"/>
        <w:jc w:val="both"/>
      </w:pPr>
      <w:r w:rsidRPr="00BC0D16">
        <w:t xml:space="preserve">спортивными залами </w:t>
      </w:r>
      <w:r w:rsidR="001710DD">
        <w:t>−</w:t>
      </w:r>
      <w:r w:rsidRPr="00BC0D16">
        <w:t xml:space="preserve"> 112,0 %; </w:t>
      </w:r>
    </w:p>
    <w:p w:rsidR="00BC0D16" w:rsidRPr="00BC0D16" w:rsidRDefault="00BC0D16" w:rsidP="009B34DB">
      <w:pPr>
        <w:ind w:firstLine="709"/>
        <w:jc w:val="both"/>
      </w:pPr>
      <w:r w:rsidRPr="00BC0D16">
        <w:t xml:space="preserve">бассейнами </w:t>
      </w:r>
      <w:r w:rsidR="001710DD">
        <w:t>−</w:t>
      </w:r>
      <w:r w:rsidRPr="00BC0D16">
        <w:t xml:space="preserve"> 34,8%; </w:t>
      </w:r>
    </w:p>
    <w:p w:rsidR="00BC0D16" w:rsidRPr="00BC0D16" w:rsidRDefault="00BC0D16" w:rsidP="009B34DB">
      <w:pPr>
        <w:ind w:firstLine="709"/>
        <w:jc w:val="both"/>
      </w:pPr>
      <w:r w:rsidRPr="00BC0D16">
        <w:t xml:space="preserve">спортивными площадками </w:t>
      </w:r>
      <w:r w:rsidR="001710DD">
        <w:t>−</w:t>
      </w:r>
      <w:r w:rsidRPr="00BC0D16">
        <w:t xml:space="preserve"> 62,4%;</w:t>
      </w:r>
    </w:p>
    <w:p w:rsidR="00BC0D16" w:rsidRPr="00BC0D16" w:rsidRDefault="00BC0D16" w:rsidP="009B34DB">
      <w:pPr>
        <w:ind w:firstLine="709"/>
        <w:jc w:val="both"/>
      </w:pPr>
      <w:r w:rsidRPr="00BC0D16">
        <w:t xml:space="preserve">спортивными объектами </w:t>
      </w:r>
      <w:r w:rsidR="001710DD">
        <w:t>−</w:t>
      </w:r>
      <w:r w:rsidRPr="00BC0D16">
        <w:t xml:space="preserve"> 37,9%;</w:t>
      </w:r>
    </w:p>
    <w:p w:rsidR="00BC0D16" w:rsidRPr="00BC0D16" w:rsidRDefault="00BC0D16" w:rsidP="009B34DB">
      <w:pPr>
        <w:ind w:firstLine="709"/>
        <w:jc w:val="both"/>
      </w:pPr>
      <w:r w:rsidRPr="00BC0D16">
        <w:t>численность регулярно занимающихся физической культурой и спортом составляет 47,1 % от числа жителей района</w:t>
      </w:r>
      <w:r w:rsidR="001710DD">
        <w:t>;</w:t>
      </w:r>
    </w:p>
    <w:p w:rsidR="00BC0D16" w:rsidRPr="00BC0D16" w:rsidRDefault="00BC0D16" w:rsidP="009B34DB">
      <w:pPr>
        <w:ind w:firstLine="709"/>
        <w:jc w:val="both"/>
      </w:pPr>
      <w:r w:rsidRPr="00BC0D16">
        <w:t>доля лиц с ограниченными возможностями здоровья</w:t>
      </w:r>
      <w:r w:rsidR="001710DD">
        <w:t>,</w:t>
      </w:r>
      <w:r w:rsidRPr="00BC0D16">
        <w:t xml:space="preserve"> занимающихся спортом</w:t>
      </w:r>
      <w:r w:rsidR="001710DD">
        <w:t>,</w:t>
      </w:r>
      <w:r w:rsidRPr="00BC0D16">
        <w:t xml:space="preserve"> составляет 34,1 % от общего числа инвалидов, проживающих в районе.</w:t>
      </w:r>
    </w:p>
    <w:p w:rsidR="00BC0D16" w:rsidRPr="00BC0D16" w:rsidRDefault="00BC0D16" w:rsidP="009B34DB">
      <w:pPr>
        <w:ind w:firstLine="709"/>
        <w:jc w:val="both"/>
      </w:pPr>
      <w:r w:rsidRPr="00BC0D16">
        <w:lastRenderedPageBreak/>
        <w:t xml:space="preserve">Функционирование отраслей социальной сферы в прогнозном периоде </w:t>
      </w:r>
      <w:r w:rsidR="001710DD">
        <w:t xml:space="preserve">          </w:t>
      </w:r>
      <w:r w:rsidRPr="00BC0D16">
        <w:t xml:space="preserve">по-прежнему будет направлено на развитие человеческого потенциала. </w:t>
      </w:r>
    </w:p>
    <w:p w:rsidR="00BC0D16" w:rsidRPr="00BC0D16" w:rsidRDefault="00BC0D16" w:rsidP="009B34DB">
      <w:pPr>
        <w:ind w:firstLine="709"/>
        <w:jc w:val="both"/>
      </w:pPr>
      <w:proofErr w:type="gramStart"/>
      <w:r w:rsidRPr="00BC0D16">
        <w:t xml:space="preserve">Приоритетной задачей по развитию социальной сферы, в соответствии </w:t>
      </w:r>
      <w:r w:rsidR="001710DD">
        <w:t xml:space="preserve">                </w:t>
      </w:r>
      <w:r w:rsidRPr="00BC0D16">
        <w:t xml:space="preserve">с Указом Президента </w:t>
      </w:r>
      <w:r w:rsidR="001710DD" w:rsidRPr="00BC0D16">
        <w:t xml:space="preserve">Российской Федерации </w:t>
      </w:r>
      <w:r w:rsidRPr="00BC0D16">
        <w:t>от 7 мая 2018</w:t>
      </w:r>
      <w:r w:rsidR="001710DD">
        <w:t xml:space="preserve"> года</w:t>
      </w:r>
      <w:r w:rsidRPr="00BC0D16">
        <w:t xml:space="preserve"> №</w:t>
      </w:r>
      <w:r w:rsidR="001710DD">
        <w:t xml:space="preserve"> </w:t>
      </w:r>
      <w:r w:rsidRPr="00BC0D16">
        <w:t xml:space="preserve">204 </w:t>
      </w:r>
      <w:r w:rsidR="001710DD">
        <w:t xml:space="preserve">                            </w:t>
      </w:r>
      <w:r w:rsidRPr="00BC0D16">
        <w:t xml:space="preserve">«О национальных целях и стратегических задачах Российской Федерации </w:t>
      </w:r>
      <w:r w:rsidR="001710DD">
        <w:t xml:space="preserve">                   </w:t>
      </w:r>
      <w:r w:rsidRPr="00BC0D16">
        <w:t>на период до 2024 года»</w:t>
      </w:r>
      <w:r w:rsidR="001710DD">
        <w:t>,</w:t>
      </w:r>
      <w:r w:rsidRPr="00BC0D16">
        <w:t xml:space="preserve"> является ускоренное развитие социальной сферы </w:t>
      </w:r>
      <w:r w:rsidR="001710DD">
        <w:t xml:space="preserve">                       </w:t>
      </w:r>
      <w:r w:rsidRPr="00BC0D16">
        <w:t>с целью обеспечения благополучия и повышения уровня жизни граждан Российской Федерации, предоставления широких возможностей для самореализации и раскрытия таланта каждого человека.</w:t>
      </w:r>
      <w:proofErr w:type="gramEnd"/>
    </w:p>
    <w:p w:rsidR="00BC0D16" w:rsidRPr="00BC0D16" w:rsidRDefault="00BC0D16" w:rsidP="009B34DB">
      <w:pPr>
        <w:ind w:firstLine="709"/>
        <w:jc w:val="both"/>
      </w:pPr>
      <w:proofErr w:type="gramStart"/>
      <w:r w:rsidRPr="00BC0D16">
        <w:t>В</w:t>
      </w:r>
      <w:proofErr w:type="gramEnd"/>
      <w:r w:rsidRPr="00BC0D16">
        <w:t xml:space="preserve"> </w:t>
      </w:r>
      <w:proofErr w:type="gramStart"/>
      <w:r w:rsidRPr="00BC0D16">
        <w:t>Нижневартовском</w:t>
      </w:r>
      <w:proofErr w:type="gramEnd"/>
      <w:r w:rsidRPr="00BC0D16">
        <w:t xml:space="preserve"> районе в муниципальной программе «Развитие образования в Нижневартовском районе» предусмотрена реализация </w:t>
      </w:r>
      <w:r w:rsidR="001710DD">
        <w:t xml:space="preserve">                                </w:t>
      </w:r>
      <w:r w:rsidRPr="00BC0D16">
        <w:t>и достижение целевых показателей по национальному проекту «Образование»:</w:t>
      </w:r>
    </w:p>
    <w:p w:rsidR="00BC0D16" w:rsidRPr="00BC0D16" w:rsidRDefault="00BC0D16" w:rsidP="009B34DB">
      <w:pPr>
        <w:ind w:firstLine="709"/>
        <w:jc w:val="both"/>
      </w:pPr>
      <w:r w:rsidRPr="00BC0D16">
        <w:t xml:space="preserve">доступность дошкольного образования </w:t>
      </w:r>
      <w:proofErr w:type="gramStart"/>
      <w:r w:rsidRPr="00BC0D16">
        <w:t xml:space="preserve">для детей в возрасте от полутора </w:t>
      </w:r>
      <w:r w:rsidR="001710DD">
        <w:t xml:space="preserve">       </w:t>
      </w:r>
      <w:r w:rsidRPr="00BC0D16">
        <w:t>до трех лет</w:t>
      </w:r>
      <w:proofErr w:type="gramEnd"/>
      <w:r w:rsidRPr="00BC0D16">
        <w:t xml:space="preserve"> на территории района </w:t>
      </w:r>
      <w:r w:rsidR="001710DD">
        <w:t>−</w:t>
      </w:r>
      <w:r w:rsidRPr="00BC0D16">
        <w:t xml:space="preserve"> 100%;</w:t>
      </w:r>
    </w:p>
    <w:p w:rsidR="00BC0D16" w:rsidRPr="00BC0D16" w:rsidRDefault="00BC0D16" w:rsidP="009B34DB">
      <w:pPr>
        <w:ind w:firstLine="709"/>
        <w:jc w:val="both"/>
      </w:pPr>
      <w:r w:rsidRPr="00BC0D16">
        <w:t xml:space="preserve">численность обучающихся в муниципальных общеобразовательных организациях, занимающихся в одну смену, в общей </w:t>
      </w:r>
      <w:proofErr w:type="gramStart"/>
      <w:r w:rsidRPr="00BC0D16">
        <w:t>численности</w:t>
      </w:r>
      <w:proofErr w:type="gramEnd"/>
      <w:r w:rsidRPr="00BC0D16">
        <w:t xml:space="preserve"> обучающихся в муниципальных общеобразовательных организациях </w:t>
      </w:r>
      <w:r w:rsidR="00E515FC">
        <w:t>−</w:t>
      </w:r>
      <w:r w:rsidRPr="00BC0D16">
        <w:t xml:space="preserve"> 100%;</w:t>
      </w:r>
    </w:p>
    <w:p w:rsidR="00BC0D16" w:rsidRPr="00BC0D16" w:rsidRDefault="00BC0D16" w:rsidP="009B34DB">
      <w:pPr>
        <w:ind w:firstLine="709"/>
        <w:jc w:val="both"/>
      </w:pPr>
      <w:r w:rsidRPr="00BC0D16">
        <w:t>увеличение доли детей в возрасте от 5 до 18 лет, охваченных дополнительным образованием</w:t>
      </w:r>
      <w:r w:rsidR="00E515FC">
        <w:t>,</w:t>
      </w:r>
      <w:r w:rsidRPr="00BC0D16">
        <w:t xml:space="preserve"> до 80%;</w:t>
      </w:r>
    </w:p>
    <w:p w:rsidR="00BC0D16" w:rsidRPr="00BC0D16" w:rsidRDefault="00BC0D16" w:rsidP="009B34DB">
      <w:pPr>
        <w:ind w:firstLine="709"/>
        <w:jc w:val="both"/>
      </w:pPr>
      <w:r w:rsidRPr="00BC0D16">
        <w:t>увеличение численности обучающихся, вовлеченных в деятельность общественных объединений на базе общеобразовательных организаций общего образования, среднего и высшего профессионального образования</w:t>
      </w:r>
      <w:r w:rsidR="00E515FC">
        <w:t>,</w:t>
      </w:r>
      <w:r w:rsidRPr="00BC0D16">
        <w:t xml:space="preserve"> до 15,3 тыс.</w:t>
      </w:r>
      <w:r w:rsidR="00E515FC">
        <w:t xml:space="preserve"> </w:t>
      </w:r>
      <w:r w:rsidRPr="00BC0D16">
        <w:t>человек</w:t>
      </w:r>
      <w:r w:rsidR="00E515FC">
        <w:t>;</w:t>
      </w:r>
    </w:p>
    <w:p w:rsidR="00BC0D16" w:rsidRPr="00BC0D16" w:rsidRDefault="00BC0D16" w:rsidP="009B34DB">
      <w:pPr>
        <w:ind w:firstLine="709"/>
        <w:jc w:val="both"/>
      </w:pPr>
      <w:r w:rsidRPr="00BC0D16">
        <w:t>увеличение доли граждан, вовлеченных в добровольческую деятельность</w:t>
      </w:r>
      <w:r w:rsidR="00E515FC">
        <w:t>,</w:t>
      </w:r>
      <w:r w:rsidRPr="00BC0D16">
        <w:t xml:space="preserve"> до 0,7 %</w:t>
      </w:r>
      <w:r w:rsidR="00E515FC">
        <w:t>;</w:t>
      </w:r>
    </w:p>
    <w:p w:rsidR="00BC0D16" w:rsidRPr="00BC0D16" w:rsidRDefault="00BC0D16" w:rsidP="009B34DB">
      <w:pPr>
        <w:ind w:firstLine="709"/>
        <w:jc w:val="both"/>
      </w:pPr>
      <w:r w:rsidRPr="00BC0D16">
        <w:t xml:space="preserve">увеличение доли молодежи, задействованной в мероприятиях </w:t>
      </w:r>
      <w:r w:rsidR="00E515FC">
        <w:t xml:space="preserve">                                 </w:t>
      </w:r>
      <w:r w:rsidRPr="00BC0D16">
        <w:t>по вовлечению в творческую деятельность, от общего числа молодежи в районе до 1,8 %.</w:t>
      </w:r>
    </w:p>
    <w:p w:rsidR="00BC0D16" w:rsidRPr="00BC0D16" w:rsidRDefault="00BC0D16" w:rsidP="009B34DB">
      <w:pPr>
        <w:ind w:firstLine="709"/>
        <w:jc w:val="both"/>
      </w:pPr>
      <w:r w:rsidRPr="00BC0D16">
        <w:t>В муниципальной программе «Культурное пространство» предусмотрена реализация и достижение целевых показателей по национальному проекту «Культура»:</w:t>
      </w:r>
    </w:p>
    <w:p w:rsidR="00BC0D16" w:rsidRPr="00BC0D16" w:rsidRDefault="00BC0D16" w:rsidP="009B34DB">
      <w:pPr>
        <w:ind w:firstLine="709"/>
        <w:jc w:val="both"/>
      </w:pPr>
      <w:r w:rsidRPr="00BC0D16">
        <w:t>увеличение числа граждан, принимающих участие в культурной деятельности до 29,9 тыс.</w:t>
      </w:r>
      <w:r w:rsidR="00E515FC">
        <w:t xml:space="preserve"> </w:t>
      </w:r>
      <w:r w:rsidRPr="00BC0D16">
        <w:t>человек;</w:t>
      </w:r>
    </w:p>
    <w:p w:rsidR="00BC0D16" w:rsidRPr="00BC0D16" w:rsidRDefault="00BC0D16" w:rsidP="009B34DB">
      <w:pPr>
        <w:ind w:firstLine="709"/>
        <w:jc w:val="both"/>
      </w:pPr>
      <w:r w:rsidRPr="00BC0D16">
        <w:t>обеспеч</w:t>
      </w:r>
      <w:r w:rsidR="003B2978">
        <w:t>ение</w:t>
      </w:r>
      <w:r w:rsidRPr="00BC0D16">
        <w:t xml:space="preserve"> организации культуры района современным оборудованием.</w:t>
      </w:r>
    </w:p>
    <w:p w:rsidR="00BC0D16" w:rsidRPr="00BC0D16" w:rsidRDefault="00BC0D16" w:rsidP="009B34DB">
      <w:pPr>
        <w:ind w:firstLine="709"/>
        <w:jc w:val="both"/>
      </w:pPr>
      <w:r w:rsidRPr="00BC0D16">
        <w:t xml:space="preserve">В муниципальной программе «Развитие физической культуры и спорта»  предусмотрена реализация и достижение целевых показателей </w:t>
      </w:r>
      <w:r w:rsidR="00E515FC">
        <w:t xml:space="preserve">                                                   </w:t>
      </w:r>
      <w:r w:rsidRPr="00BC0D16">
        <w:t>по национальному проекту «Демография»:</w:t>
      </w:r>
    </w:p>
    <w:p w:rsidR="00BC0D16" w:rsidRPr="00BC0D16" w:rsidRDefault="00BC0D16" w:rsidP="009B34DB">
      <w:pPr>
        <w:ind w:firstLine="709"/>
        <w:jc w:val="both"/>
      </w:pPr>
      <w:r w:rsidRPr="00BC0D16">
        <w:t>доведение доли граждан, систематически занимающихся физической культурой и спортом</w:t>
      </w:r>
      <w:r w:rsidR="00E515FC">
        <w:t>,</w:t>
      </w:r>
      <w:r w:rsidRPr="00BC0D16">
        <w:t xml:space="preserve"> до 63,1%.</w:t>
      </w:r>
    </w:p>
    <w:p w:rsidR="00BC0D16" w:rsidRPr="00BC0D16" w:rsidRDefault="00BC0D16" w:rsidP="009B34DB">
      <w:pPr>
        <w:ind w:firstLine="709"/>
        <w:jc w:val="both"/>
      </w:pPr>
    </w:p>
    <w:p w:rsidR="00BC0D16" w:rsidRPr="00BC0D16" w:rsidRDefault="00BC0D16" w:rsidP="009B34DB">
      <w:pPr>
        <w:ind w:firstLine="709"/>
        <w:jc w:val="both"/>
      </w:pPr>
    </w:p>
    <w:p w:rsidR="00BC0D16" w:rsidRPr="00BC0D16" w:rsidRDefault="00BC0D16" w:rsidP="009B34DB">
      <w:pPr>
        <w:ind w:firstLine="709"/>
        <w:jc w:val="both"/>
      </w:pPr>
    </w:p>
    <w:p w:rsidR="00BC0D16" w:rsidRPr="00BC0D16" w:rsidRDefault="00BC0D16" w:rsidP="009B34DB">
      <w:pPr>
        <w:ind w:firstLine="709"/>
        <w:jc w:val="both"/>
      </w:pPr>
    </w:p>
    <w:p w:rsidR="00BC0D16" w:rsidRPr="00BC0D16" w:rsidRDefault="00BC0D16" w:rsidP="009B34DB">
      <w:pPr>
        <w:ind w:firstLine="709"/>
        <w:jc w:val="both"/>
      </w:pPr>
    </w:p>
    <w:p w:rsidR="00BC0D16" w:rsidRPr="00BC0D16" w:rsidRDefault="00BC0D16" w:rsidP="00BC0D16">
      <w:pPr>
        <w:sectPr w:rsidR="00BC0D16" w:rsidRPr="00BC0D16" w:rsidSect="00BD670B">
          <w:headerReference w:type="default" r:id="rId12"/>
          <w:pgSz w:w="11906" w:h="16838"/>
          <w:pgMar w:top="1134" w:right="567" w:bottom="1134" w:left="1701" w:header="709" w:footer="709" w:gutter="0"/>
          <w:cols w:space="720"/>
          <w:docGrid w:linePitch="360"/>
        </w:sectPr>
      </w:pPr>
    </w:p>
    <w:p w:rsidR="00BC0D16" w:rsidRPr="00E515FC" w:rsidRDefault="00BC0D16" w:rsidP="00E515FC">
      <w:pPr>
        <w:jc w:val="center"/>
        <w:rPr>
          <w:b/>
        </w:rPr>
      </w:pPr>
      <w:r w:rsidRPr="00E515FC">
        <w:rPr>
          <w:b/>
        </w:rPr>
        <w:lastRenderedPageBreak/>
        <w:t xml:space="preserve">Показатели </w:t>
      </w:r>
      <w:r w:rsidR="00E515FC">
        <w:rPr>
          <w:b/>
        </w:rPr>
        <w:t>п</w:t>
      </w:r>
      <w:r w:rsidRPr="00E515FC">
        <w:rPr>
          <w:b/>
        </w:rPr>
        <w:t>рогноза социально-экономического развития</w:t>
      </w:r>
    </w:p>
    <w:p w:rsidR="00BC0D16" w:rsidRPr="00E515FC" w:rsidRDefault="00BC0D16" w:rsidP="00E515FC">
      <w:pPr>
        <w:jc w:val="center"/>
        <w:rPr>
          <w:b/>
        </w:rPr>
      </w:pPr>
      <w:r w:rsidRPr="00E515FC">
        <w:rPr>
          <w:b/>
        </w:rPr>
        <w:t>Нижневартовского района</w:t>
      </w:r>
    </w:p>
    <w:p w:rsidR="00E515FC" w:rsidRPr="00BC0D16" w:rsidRDefault="00E515FC" w:rsidP="00E515FC">
      <w:pPr>
        <w:jc w:val="right"/>
      </w:pPr>
      <w:r w:rsidRPr="00BC0D16">
        <w:t>Таблица 4</w:t>
      </w:r>
    </w:p>
    <w:p w:rsidR="00BC0D16" w:rsidRPr="00BC0D16" w:rsidRDefault="00BC0D16" w:rsidP="00BC0D16"/>
    <w:tbl>
      <w:tblPr>
        <w:tblW w:w="1588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1564"/>
        <w:gridCol w:w="1417"/>
        <w:gridCol w:w="851"/>
        <w:gridCol w:w="992"/>
        <w:gridCol w:w="851"/>
        <w:gridCol w:w="850"/>
        <w:gridCol w:w="851"/>
        <w:gridCol w:w="850"/>
        <w:gridCol w:w="851"/>
        <w:gridCol w:w="850"/>
        <w:gridCol w:w="851"/>
        <w:gridCol w:w="850"/>
        <w:gridCol w:w="851"/>
        <w:gridCol w:w="850"/>
        <w:gridCol w:w="851"/>
        <w:gridCol w:w="850"/>
        <w:gridCol w:w="851"/>
      </w:tblGrid>
      <w:tr w:rsidR="00BC0D16" w:rsidRPr="00C3344F" w:rsidTr="00C3344F">
        <w:trPr>
          <w:trHeight w:val="146"/>
          <w:tblHeader/>
          <w:jc w:val="right"/>
        </w:trPr>
        <w:tc>
          <w:tcPr>
            <w:tcW w:w="1564" w:type="dxa"/>
            <w:vMerge w:val="restart"/>
            <w:shd w:val="clear" w:color="auto" w:fill="auto"/>
            <w:hideMark/>
          </w:tcPr>
          <w:p w:rsidR="00BC0D16" w:rsidRPr="00C3344F" w:rsidRDefault="00BC0D16" w:rsidP="00C3344F">
            <w:pPr>
              <w:jc w:val="center"/>
              <w:rPr>
                <w:b/>
                <w:sz w:val="24"/>
                <w:szCs w:val="24"/>
              </w:rPr>
            </w:pPr>
            <w:r w:rsidRPr="00C3344F">
              <w:rPr>
                <w:b/>
                <w:sz w:val="24"/>
                <w:szCs w:val="24"/>
              </w:rPr>
              <w:t>Показатели</w:t>
            </w:r>
          </w:p>
        </w:tc>
        <w:tc>
          <w:tcPr>
            <w:tcW w:w="1417" w:type="dxa"/>
            <w:vMerge w:val="restart"/>
            <w:shd w:val="clear" w:color="auto" w:fill="auto"/>
            <w:hideMark/>
          </w:tcPr>
          <w:p w:rsidR="00BC0D16" w:rsidRPr="00C3344F" w:rsidRDefault="00BC0D16" w:rsidP="00C3344F">
            <w:pPr>
              <w:jc w:val="center"/>
              <w:rPr>
                <w:b/>
                <w:sz w:val="24"/>
                <w:szCs w:val="24"/>
              </w:rPr>
            </w:pPr>
            <w:r w:rsidRPr="00C3344F">
              <w:rPr>
                <w:b/>
                <w:sz w:val="24"/>
                <w:szCs w:val="24"/>
              </w:rPr>
              <w:t>Единица измерения</w:t>
            </w:r>
          </w:p>
        </w:tc>
        <w:tc>
          <w:tcPr>
            <w:tcW w:w="1843" w:type="dxa"/>
            <w:gridSpan w:val="2"/>
            <w:shd w:val="clear" w:color="auto" w:fill="auto"/>
            <w:hideMark/>
          </w:tcPr>
          <w:p w:rsidR="00BC0D16" w:rsidRPr="00C3344F" w:rsidRDefault="00E515FC" w:rsidP="00C3344F">
            <w:pPr>
              <w:jc w:val="center"/>
              <w:rPr>
                <w:b/>
                <w:sz w:val="24"/>
                <w:szCs w:val="24"/>
              </w:rPr>
            </w:pPr>
            <w:r w:rsidRPr="00C3344F">
              <w:rPr>
                <w:b/>
                <w:sz w:val="24"/>
                <w:szCs w:val="24"/>
              </w:rPr>
              <w:t>О</w:t>
            </w:r>
            <w:r w:rsidR="00BC0D16" w:rsidRPr="00C3344F">
              <w:rPr>
                <w:b/>
                <w:sz w:val="24"/>
                <w:szCs w:val="24"/>
              </w:rPr>
              <w:t>тчет</w:t>
            </w:r>
          </w:p>
        </w:tc>
        <w:tc>
          <w:tcPr>
            <w:tcW w:w="851" w:type="dxa"/>
            <w:shd w:val="clear" w:color="auto" w:fill="auto"/>
            <w:hideMark/>
          </w:tcPr>
          <w:p w:rsidR="00BC0D16" w:rsidRPr="00C3344F" w:rsidRDefault="00E515FC" w:rsidP="00C3344F">
            <w:pPr>
              <w:jc w:val="center"/>
              <w:rPr>
                <w:b/>
                <w:sz w:val="24"/>
                <w:szCs w:val="24"/>
              </w:rPr>
            </w:pPr>
            <w:r w:rsidRPr="00C3344F">
              <w:rPr>
                <w:b/>
                <w:sz w:val="24"/>
                <w:szCs w:val="24"/>
              </w:rPr>
              <w:t>О</w:t>
            </w:r>
            <w:r w:rsidR="00BC0D16" w:rsidRPr="00C3344F">
              <w:rPr>
                <w:b/>
                <w:sz w:val="24"/>
                <w:szCs w:val="24"/>
              </w:rPr>
              <w:t>ценка</w:t>
            </w:r>
          </w:p>
        </w:tc>
        <w:tc>
          <w:tcPr>
            <w:tcW w:w="10206" w:type="dxa"/>
            <w:gridSpan w:val="12"/>
            <w:shd w:val="clear" w:color="auto" w:fill="auto"/>
          </w:tcPr>
          <w:p w:rsidR="00BC0D16" w:rsidRPr="00C3344F" w:rsidRDefault="00E515FC" w:rsidP="00C3344F">
            <w:pPr>
              <w:jc w:val="center"/>
              <w:rPr>
                <w:b/>
                <w:sz w:val="24"/>
                <w:szCs w:val="24"/>
              </w:rPr>
            </w:pPr>
            <w:r w:rsidRPr="00C3344F">
              <w:rPr>
                <w:b/>
                <w:sz w:val="24"/>
                <w:szCs w:val="24"/>
              </w:rPr>
              <w:t>П</w:t>
            </w:r>
            <w:r w:rsidR="00BC0D16" w:rsidRPr="00C3344F">
              <w:rPr>
                <w:b/>
                <w:sz w:val="24"/>
                <w:szCs w:val="24"/>
              </w:rPr>
              <w:t>рогноз</w:t>
            </w:r>
          </w:p>
        </w:tc>
      </w:tr>
      <w:tr w:rsidR="00BC0D16" w:rsidRPr="00C3344F" w:rsidTr="00C3344F">
        <w:trPr>
          <w:trHeight w:val="120"/>
          <w:tblHeader/>
          <w:jc w:val="right"/>
        </w:trPr>
        <w:tc>
          <w:tcPr>
            <w:tcW w:w="1564" w:type="dxa"/>
            <w:vMerge/>
            <w:hideMark/>
          </w:tcPr>
          <w:p w:rsidR="00BC0D16" w:rsidRPr="00C3344F" w:rsidRDefault="00BC0D16" w:rsidP="00C3344F">
            <w:pPr>
              <w:jc w:val="center"/>
              <w:rPr>
                <w:b/>
                <w:sz w:val="24"/>
                <w:szCs w:val="24"/>
              </w:rPr>
            </w:pPr>
          </w:p>
        </w:tc>
        <w:tc>
          <w:tcPr>
            <w:tcW w:w="1417" w:type="dxa"/>
            <w:vMerge/>
            <w:hideMark/>
          </w:tcPr>
          <w:p w:rsidR="00BC0D16" w:rsidRPr="00C3344F" w:rsidRDefault="00BC0D16" w:rsidP="00C3344F">
            <w:pPr>
              <w:jc w:val="center"/>
              <w:rPr>
                <w:b/>
                <w:sz w:val="24"/>
                <w:szCs w:val="24"/>
              </w:rPr>
            </w:pPr>
          </w:p>
        </w:tc>
        <w:tc>
          <w:tcPr>
            <w:tcW w:w="851" w:type="dxa"/>
            <w:vMerge w:val="restart"/>
            <w:shd w:val="clear" w:color="auto" w:fill="auto"/>
            <w:hideMark/>
          </w:tcPr>
          <w:p w:rsidR="00BC0D16" w:rsidRPr="00C3344F" w:rsidRDefault="00BC0D16" w:rsidP="00C3344F">
            <w:pPr>
              <w:jc w:val="center"/>
              <w:rPr>
                <w:b/>
                <w:sz w:val="24"/>
                <w:szCs w:val="24"/>
              </w:rPr>
            </w:pPr>
            <w:r w:rsidRPr="00C3344F">
              <w:rPr>
                <w:b/>
                <w:sz w:val="24"/>
                <w:szCs w:val="24"/>
              </w:rPr>
              <w:t>2017</w:t>
            </w:r>
            <w:r w:rsidR="00E515FC" w:rsidRPr="00C3344F">
              <w:rPr>
                <w:b/>
                <w:sz w:val="24"/>
                <w:szCs w:val="24"/>
              </w:rPr>
              <w:t xml:space="preserve"> год</w:t>
            </w:r>
          </w:p>
        </w:tc>
        <w:tc>
          <w:tcPr>
            <w:tcW w:w="992" w:type="dxa"/>
            <w:vMerge w:val="restart"/>
            <w:shd w:val="clear" w:color="auto" w:fill="auto"/>
            <w:hideMark/>
          </w:tcPr>
          <w:p w:rsidR="00BC0D16" w:rsidRPr="00C3344F" w:rsidRDefault="00BC0D16" w:rsidP="00C3344F">
            <w:pPr>
              <w:jc w:val="center"/>
              <w:rPr>
                <w:b/>
                <w:sz w:val="24"/>
                <w:szCs w:val="24"/>
              </w:rPr>
            </w:pPr>
            <w:r w:rsidRPr="00C3344F">
              <w:rPr>
                <w:b/>
                <w:sz w:val="24"/>
                <w:szCs w:val="24"/>
              </w:rPr>
              <w:t>2018</w:t>
            </w:r>
            <w:r w:rsidR="00E515FC" w:rsidRPr="00C3344F">
              <w:rPr>
                <w:b/>
                <w:sz w:val="24"/>
                <w:szCs w:val="24"/>
              </w:rPr>
              <w:t xml:space="preserve"> год</w:t>
            </w:r>
          </w:p>
        </w:tc>
        <w:tc>
          <w:tcPr>
            <w:tcW w:w="851" w:type="dxa"/>
            <w:vMerge w:val="restart"/>
            <w:shd w:val="clear" w:color="auto" w:fill="auto"/>
            <w:hideMark/>
          </w:tcPr>
          <w:p w:rsidR="00BC0D16" w:rsidRPr="00C3344F" w:rsidRDefault="00BC0D16" w:rsidP="00C3344F">
            <w:pPr>
              <w:jc w:val="center"/>
              <w:rPr>
                <w:b/>
                <w:sz w:val="24"/>
                <w:szCs w:val="24"/>
              </w:rPr>
            </w:pPr>
            <w:r w:rsidRPr="00C3344F">
              <w:rPr>
                <w:b/>
                <w:sz w:val="24"/>
                <w:szCs w:val="24"/>
              </w:rPr>
              <w:t>2019</w:t>
            </w:r>
            <w:r w:rsidR="00E515FC" w:rsidRPr="00C3344F">
              <w:rPr>
                <w:b/>
                <w:sz w:val="24"/>
                <w:szCs w:val="24"/>
              </w:rPr>
              <w:t xml:space="preserve"> год</w:t>
            </w:r>
          </w:p>
        </w:tc>
        <w:tc>
          <w:tcPr>
            <w:tcW w:w="1701" w:type="dxa"/>
            <w:gridSpan w:val="2"/>
            <w:shd w:val="clear" w:color="auto" w:fill="auto"/>
            <w:hideMark/>
          </w:tcPr>
          <w:p w:rsidR="00BC0D16" w:rsidRPr="00C3344F" w:rsidRDefault="00BC0D16" w:rsidP="00C3344F">
            <w:pPr>
              <w:jc w:val="center"/>
              <w:rPr>
                <w:b/>
                <w:sz w:val="24"/>
                <w:szCs w:val="24"/>
              </w:rPr>
            </w:pPr>
            <w:r w:rsidRPr="00C3344F">
              <w:rPr>
                <w:b/>
                <w:sz w:val="24"/>
                <w:szCs w:val="24"/>
              </w:rPr>
              <w:t>2020</w:t>
            </w:r>
            <w:r w:rsidR="00E515FC" w:rsidRPr="00C3344F">
              <w:rPr>
                <w:b/>
                <w:sz w:val="24"/>
                <w:szCs w:val="24"/>
              </w:rPr>
              <w:t xml:space="preserve"> год</w:t>
            </w:r>
          </w:p>
        </w:tc>
        <w:tc>
          <w:tcPr>
            <w:tcW w:w="1701" w:type="dxa"/>
            <w:gridSpan w:val="2"/>
            <w:shd w:val="clear" w:color="auto" w:fill="auto"/>
            <w:hideMark/>
          </w:tcPr>
          <w:p w:rsidR="00BC0D16" w:rsidRPr="00C3344F" w:rsidRDefault="00BC0D16" w:rsidP="00C3344F">
            <w:pPr>
              <w:jc w:val="center"/>
              <w:rPr>
                <w:b/>
                <w:sz w:val="24"/>
                <w:szCs w:val="24"/>
              </w:rPr>
            </w:pPr>
            <w:r w:rsidRPr="00C3344F">
              <w:rPr>
                <w:b/>
                <w:sz w:val="24"/>
                <w:szCs w:val="24"/>
              </w:rPr>
              <w:t>2021</w:t>
            </w:r>
            <w:r w:rsidR="00E515FC" w:rsidRPr="00C3344F">
              <w:rPr>
                <w:b/>
                <w:sz w:val="24"/>
                <w:szCs w:val="24"/>
              </w:rPr>
              <w:t xml:space="preserve"> год</w:t>
            </w:r>
          </w:p>
        </w:tc>
        <w:tc>
          <w:tcPr>
            <w:tcW w:w="1701" w:type="dxa"/>
            <w:gridSpan w:val="2"/>
            <w:shd w:val="clear" w:color="auto" w:fill="auto"/>
            <w:hideMark/>
          </w:tcPr>
          <w:p w:rsidR="00BC0D16" w:rsidRPr="00C3344F" w:rsidRDefault="00BC0D16" w:rsidP="00C3344F">
            <w:pPr>
              <w:jc w:val="center"/>
              <w:rPr>
                <w:b/>
                <w:sz w:val="24"/>
                <w:szCs w:val="24"/>
              </w:rPr>
            </w:pPr>
            <w:r w:rsidRPr="00C3344F">
              <w:rPr>
                <w:b/>
                <w:sz w:val="24"/>
                <w:szCs w:val="24"/>
              </w:rPr>
              <w:t>2022</w:t>
            </w:r>
            <w:r w:rsidR="00E515FC" w:rsidRPr="00C3344F">
              <w:rPr>
                <w:b/>
                <w:sz w:val="24"/>
                <w:szCs w:val="24"/>
              </w:rPr>
              <w:t xml:space="preserve"> год</w:t>
            </w:r>
          </w:p>
        </w:tc>
        <w:tc>
          <w:tcPr>
            <w:tcW w:w="1701" w:type="dxa"/>
            <w:gridSpan w:val="2"/>
            <w:shd w:val="clear" w:color="auto" w:fill="auto"/>
            <w:hideMark/>
          </w:tcPr>
          <w:p w:rsidR="00BC0D16" w:rsidRPr="00C3344F" w:rsidRDefault="00BC0D16" w:rsidP="00C3344F">
            <w:pPr>
              <w:jc w:val="center"/>
              <w:rPr>
                <w:b/>
                <w:sz w:val="24"/>
                <w:szCs w:val="24"/>
              </w:rPr>
            </w:pPr>
            <w:r w:rsidRPr="00C3344F">
              <w:rPr>
                <w:b/>
                <w:sz w:val="24"/>
                <w:szCs w:val="24"/>
              </w:rPr>
              <w:t>2023</w:t>
            </w:r>
            <w:r w:rsidR="00E515FC" w:rsidRPr="00C3344F">
              <w:rPr>
                <w:b/>
                <w:sz w:val="24"/>
                <w:szCs w:val="24"/>
              </w:rPr>
              <w:t xml:space="preserve"> год</w:t>
            </w:r>
          </w:p>
        </w:tc>
        <w:tc>
          <w:tcPr>
            <w:tcW w:w="1701" w:type="dxa"/>
            <w:gridSpan w:val="2"/>
            <w:shd w:val="clear" w:color="auto" w:fill="auto"/>
            <w:hideMark/>
          </w:tcPr>
          <w:p w:rsidR="00BC0D16" w:rsidRPr="00C3344F" w:rsidRDefault="00BC0D16" w:rsidP="00C3344F">
            <w:pPr>
              <w:jc w:val="center"/>
              <w:rPr>
                <w:b/>
                <w:sz w:val="24"/>
                <w:szCs w:val="24"/>
              </w:rPr>
            </w:pPr>
            <w:r w:rsidRPr="00C3344F">
              <w:rPr>
                <w:b/>
                <w:sz w:val="24"/>
                <w:szCs w:val="24"/>
              </w:rPr>
              <w:t>2024</w:t>
            </w:r>
            <w:r w:rsidR="00E515FC" w:rsidRPr="00C3344F">
              <w:rPr>
                <w:b/>
                <w:sz w:val="24"/>
                <w:szCs w:val="24"/>
              </w:rPr>
              <w:t xml:space="preserve"> год</w:t>
            </w:r>
          </w:p>
        </w:tc>
        <w:tc>
          <w:tcPr>
            <w:tcW w:w="1701" w:type="dxa"/>
            <w:gridSpan w:val="2"/>
            <w:shd w:val="clear" w:color="auto" w:fill="auto"/>
            <w:hideMark/>
          </w:tcPr>
          <w:p w:rsidR="00BC0D16" w:rsidRPr="00C3344F" w:rsidRDefault="00BC0D16" w:rsidP="00C3344F">
            <w:pPr>
              <w:jc w:val="center"/>
              <w:rPr>
                <w:b/>
                <w:sz w:val="24"/>
                <w:szCs w:val="24"/>
              </w:rPr>
            </w:pPr>
            <w:r w:rsidRPr="00C3344F">
              <w:rPr>
                <w:b/>
                <w:sz w:val="24"/>
                <w:szCs w:val="24"/>
              </w:rPr>
              <w:t>2025</w:t>
            </w:r>
            <w:r w:rsidR="00E515FC" w:rsidRPr="00C3344F">
              <w:rPr>
                <w:b/>
                <w:sz w:val="24"/>
                <w:szCs w:val="24"/>
              </w:rPr>
              <w:t xml:space="preserve"> год</w:t>
            </w:r>
          </w:p>
        </w:tc>
      </w:tr>
      <w:tr w:rsidR="00BC0D16" w:rsidRPr="00C3344F" w:rsidTr="00C3344F">
        <w:trPr>
          <w:trHeight w:val="142"/>
          <w:tblHeader/>
          <w:jc w:val="right"/>
        </w:trPr>
        <w:tc>
          <w:tcPr>
            <w:tcW w:w="1564" w:type="dxa"/>
            <w:vMerge/>
            <w:hideMark/>
          </w:tcPr>
          <w:p w:rsidR="00BC0D16" w:rsidRPr="00C3344F" w:rsidRDefault="00BC0D16" w:rsidP="00C3344F">
            <w:pPr>
              <w:jc w:val="center"/>
              <w:rPr>
                <w:b/>
                <w:sz w:val="24"/>
                <w:szCs w:val="24"/>
              </w:rPr>
            </w:pPr>
          </w:p>
        </w:tc>
        <w:tc>
          <w:tcPr>
            <w:tcW w:w="1417" w:type="dxa"/>
            <w:vMerge/>
            <w:hideMark/>
          </w:tcPr>
          <w:p w:rsidR="00BC0D16" w:rsidRPr="00C3344F" w:rsidRDefault="00BC0D16" w:rsidP="00C3344F">
            <w:pPr>
              <w:jc w:val="center"/>
              <w:rPr>
                <w:b/>
                <w:sz w:val="24"/>
                <w:szCs w:val="24"/>
              </w:rPr>
            </w:pPr>
          </w:p>
        </w:tc>
        <w:tc>
          <w:tcPr>
            <w:tcW w:w="851" w:type="dxa"/>
            <w:vMerge/>
            <w:hideMark/>
          </w:tcPr>
          <w:p w:rsidR="00BC0D16" w:rsidRPr="00C3344F" w:rsidRDefault="00BC0D16" w:rsidP="00C3344F">
            <w:pPr>
              <w:jc w:val="center"/>
              <w:rPr>
                <w:b/>
                <w:sz w:val="24"/>
                <w:szCs w:val="24"/>
              </w:rPr>
            </w:pPr>
          </w:p>
        </w:tc>
        <w:tc>
          <w:tcPr>
            <w:tcW w:w="992" w:type="dxa"/>
            <w:vMerge/>
            <w:hideMark/>
          </w:tcPr>
          <w:p w:rsidR="00BC0D16" w:rsidRPr="00C3344F" w:rsidRDefault="00BC0D16" w:rsidP="00C3344F">
            <w:pPr>
              <w:jc w:val="center"/>
              <w:rPr>
                <w:b/>
                <w:sz w:val="24"/>
                <w:szCs w:val="24"/>
              </w:rPr>
            </w:pPr>
          </w:p>
        </w:tc>
        <w:tc>
          <w:tcPr>
            <w:tcW w:w="851" w:type="dxa"/>
            <w:vMerge/>
            <w:hideMark/>
          </w:tcPr>
          <w:p w:rsidR="00BC0D16" w:rsidRPr="00C3344F" w:rsidRDefault="00BC0D16" w:rsidP="00C3344F">
            <w:pPr>
              <w:jc w:val="center"/>
              <w:rPr>
                <w:b/>
                <w:sz w:val="24"/>
                <w:szCs w:val="24"/>
              </w:rPr>
            </w:pPr>
          </w:p>
        </w:tc>
        <w:tc>
          <w:tcPr>
            <w:tcW w:w="1701" w:type="dxa"/>
            <w:gridSpan w:val="2"/>
            <w:shd w:val="clear" w:color="auto" w:fill="auto"/>
            <w:hideMark/>
          </w:tcPr>
          <w:p w:rsidR="00BC0D16" w:rsidRPr="00C3344F" w:rsidRDefault="00BC0D16" w:rsidP="00C3344F">
            <w:pPr>
              <w:jc w:val="center"/>
              <w:rPr>
                <w:b/>
                <w:sz w:val="24"/>
                <w:szCs w:val="24"/>
              </w:rPr>
            </w:pPr>
            <w:r w:rsidRPr="00C3344F">
              <w:rPr>
                <w:b/>
                <w:sz w:val="24"/>
                <w:szCs w:val="24"/>
              </w:rPr>
              <w:t>вариант</w:t>
            </w:r>
          </w:p>
        </w:tc>
        <w:tc>
          <w:tcPr>
            <w:tcW w:w="1701" w:type="dxa"/>
            <w:gridSpan w:val="2"/>
            <w:shd w:val="clear" w:color="auto" w:fill="auto"/>
            <w:hideMark/>
          </w:tcPr>
          <w:p w:rsidR="00BC0D16" w:rsidRPr="00C3344F" w:rsidRDefault="00BC0D16" w:rsidP="00C3344F">
            <w:pPr>
              <w:jc w:val="center"/>
              <w:rPr>
                <w:b/>
                <w:sz w:val="24"/>
                <w:szCs w:val="24"/>
              </w:rPr>
            </w:pPr>
            <w:r w:rsidRPr="00C3344F">
              <w:rPr>
                <w:b/>
                <w:sz w:val="24"/>
                <w:szCs w:val="24"/>
              </w:rPr>
              <w:t>вариант</w:t>
            </w:r>
          </w:p>
        </w:tc>
        <w:tc>
          <w:tcPr>
            <w:tcW w:w="1701" w:type="dxa"/>
            <w:gridSpan w:val="2"/>
            <w:shd w:val="clear" w:color="auto" w:fill="auto"/>
            <w:hideMark/>
          </w:tcPr>
          <w:p w:rsidR="00BC0D16" w:rsidRPr="00C3344F" w:rsidRDefault="00BC0D16" w:rsidP="00C3344F">
            <w:pPr>
              <w:jc w:val="center"/>
              <w:rPr>
                <w:b/>
                <w:sz w:val="24"/>
                <w:szCs w:val="24"/>
              </w:rPr>
            </w:pPr>
            <w:r w:rsidRPr="00C3344F">
              <w:rPr>
                <w:b/>
                <w:sz w:val="24"/>
                <w:szCs w:val="24"/>
              </w:rPr>
              <w:t>вариант</w:t>
            </w:r>
          </w:p>
        </w:tc>
        <w:tc>
          <w:tcPr>
            <w:tcW w:w="1701" w:type="dxa"/>
            <w:gridSpan w:val="2"/>
            <w:shd w:val="clear" w:color="auto" w:fill="auto"/>
            <w:hideMark/>
          </w:tcPr>
          <w:p w:rsidR="00BC0D16" w:rsidRPr="00C3344F" w:rsidRDefault="00BC0D16" w:rsidP="00C3344F">
            <w:pPr>
              <w:jc w:val="center"/>
              <w:rPr>
                <w:b/>
                <w:sz w:val="24"/>
                <w:szCs w:val="24"/>
              </w:rPr>
            </w:pPr>
            <w:r w:rsidRPr="00C3344F">
              <w:rPr>
                <w:b/>
                <w:sz w:val="24"/>
                <w:szCs w:val="24"/>
              </w:rPr>
              <w:t>вариант</w:t>
            </w:r>
          </w:p>
        </w:tc>
        <w:tc>
          <w:tcPr>
            <w:tcW w:w="1701" w:type="dxa"/>
            <w:gridSpan w:val="2"/>
            <w:shd w:val="clear" w:color="auto" w:fill="auto"/>
            <w:hideMark/>
          </w:tcPr>
          <w:p w:rsidR="00BC0D16" w:rsidRPr="00C3344F" w:rsidRDefault="00BC0D16" w:rsidP="00C3344F">
            <w:pPr>
              <w:jc w:val="center"/>
              <w:rPr>
                <w:b/>
                <w:sz w:val="24"/>
                <w:szCs w:val="24"/>
              </w:rPr>
            </w:pPr>
            <w:r w:rsidRPr="00C3344F">
              <w:rPr>
                <w:b/>
                <w:sz w:val="24"/>
                <w:szCs w:val="24"/>
              </w:rPr>
              <w:t>вариант</w:t>
            </w:r>
          </w:p>
        </w:tc>
        <w:tc>
          <w:tcPr>
            <w:tcW w:w="1701" w:type="dxa"/>
            <w:gridSpan w:val="2"/>
            <w:shd w:val="clear" w:color="auto" w:fill="auto"/>
            <w:hideMark/>
          </w:tcPr>
          <w:p w:rsidR="00BC0D16" w:rsidRPr="00C3344F" w:rsidRDefault="00BC0D16" w:rsidP="00C3344F">
            <w:pPr>
              <w:jc w:val="center"/>
              <w:rPr>
                <w:b/>
                <w:sz w:val="24"/>
                <w:szCs w:val="24"/>
              </w:rPr>
            </w:pPr>
            <w:r w:rsidRPr="00C3344F">
              <w:rPr>
                <w:b/>
                <w:sz w:val="24"/>
                <w:szCs w:val="24"/>
              </w:rPr>
              <w:t>вариант</w:t>
            </w:r>
          </w:p>
        </w:tc>
      </w:tr>
      <w:tr w:rsidR="00BC0D16" w:rsidRPr="00C3344F" w:rsidTr="00C3344F">
        <w:trPr>
          <w:trHeight w:val="123"/>
          <w:tblHeader/>
          <w:jc w:val="right"/>
        </w:trPr>
        <w:tc>
          <w:tcPr>
            <w:tcW w:w="1564" w:type="dxa"/>
            <w:vMerge/>
            <w:hideMark/>
          </w:tcPr>
          <w:p w:rsidR="00BC0D16" w:rsidRPr="00C3344F" w:rsidRDefault="00BC0D16" w:rsidP="00C3344F">
            <w:pPr>
              <w:jc w:val="center"/>
              <w:rPr>
                <w:b/>
                <w:sz w:val="24"/>
                <w:szCs w:val="24"/>
              </w:rPr>
            </w:pPr>
          </w:p>
        </w:tc>
        <w:tc>
          <w:tcPr>
            <w:tcW w:w="1417" w:type="dxa"/>
            <w:vMerge/>
            <w:hideMark/>
          </w:tcPr>
          <w:p w:rsidR="00BC0D16" w:rsidRPr="00C3344F" w:rsidRDefault="00BC0D16" w:rsidP="00C3344F">
            <w:pPr>
              <w:jc w:val="center"/>
              <w:rPr>
                <w:b/>
                <w:sz w:val="24"/>
                <w:szCs w:val="24"/>
              </w:rPr>
            </w:pPr>
          </w:p>
        </w:tc>
        <w:tc>
          <w:tcPr>
            <w:tcW w:w="851" w:type="dxa"/>
            <w:vMerge/>
            <w:hideMark/>
          </w:tcPr>
          <w:p w:rsidR="00BC0D16" w:rsidRPr="00C3344F" w:rsidRDefault="00BC0D16" w:rsidP="00C3344F">
            <w:pPr>
              <w:jc w:val="center"/>
              <w:rPr>
                <w:b/>
                <w:sz w:val="24"/>
                <w:szCs w:val="24"/>
              </w:rPr>
            </w:pPr>
          </w:p>
        </w:tc>
        <w:tc>
          <w:tcPr>
            <w:tcW w:w="992" w:type="dxa"/>
            <w:vMerge/>
            <w:hideMark/>
          </w:tcPr>
          <w:p w:rsidR="00BC0D16" w:rsidRPr="00C3344F" w:rsidRDefault="00BC0D16" w:rsidP="00C3344F">
            <w:pPr>
              <w:jc w:val="center"/>
              <w:rPr>
                <w:b/>
                <w:sz w:val="24"/>
                <w:szCs w:val="24"/>
              </w:rPr>
            </w:pPr>
          </w:p>
        </w:tc>
        <w:tc>
          <w:tcPr>
            <w:tcW w:w="851" w:type="dxa"/>
            <w:vMerge/>
            <w:hideMark/>
          </w:tcPr>
          <w:p w:rsidR="00BC0D16" w:rsidRPr="00C3344F" w:rsidRDefault="00BC0D16" w:rsidP="00C3344F">
            <w:pPr>
              <w:jc w:val="center"/>
              <w:rPr>
                <w:b/>
                <w:sz w:val="24"/>
                <w:szCs w:val="24"/>
              </w:rPr>
            </w:pPr>
          </w:p>
        </w:tc>
        <w:tc>
          <w:tcPr>
            <w:tcW w:w="850" w:type="dxa"/>
            <w:shd w:val="clear" w:color="auto" w:fill="auto"/>
            <w:hideMark/>
          </w:tcPr>
          <w:p w:rsidR="00BC0D16" w:rsidRPr="00C3344F" w:rsidRDefault="00BC0D16" w:rsidP="00C3344F">
            <w:pPr>
              <w:jc w:val="center"/>
              <w:rPr>
                <w:b/>
                <w:sz w:val="24"/>
                <w:szCs w:val="24"/>
              </w:rPr>
            </w:pPr>
            <w:proofErr w:type="gramStart"/>
            <w:r w:rsidRPr="00C3344F">
              <w:rPr>
                <w:b/>
                <w:sz w:val="24"/>
                <w:szCs w:val="24"/>
              </w:rPr>
              <w:t>базовый</w:t>
            </w:r>
            <w:proofErr w:type="gramEnd"/>
          </w:p>
        </w:tc>
        <w:tc>
          <w:tcPr>
            <w:tcW w:w="851" w:type="dxa"/>
            <w:shd w:val="clear" w:color="auto" w:fill="auto"/>
            <w:hideMark/>
          </w:tcPr>
          <w:p w:rsidR="00BC0D16" w:rsidRPr="00C3344F" w:rsidRDefault="00BC0D16" w:rsidP="00C3344F">
            <w:pPr>
              <w:jc w:val="center"/>
              <w:rPr>
                <w:b/>
                <w:sz w:val="24"/>
                <w:szCs w:val="24"/>
              </w:rPr>
            </w:pPr>
            <w:proofErr w:type="gramStart"/>
            <w:r w:rsidRPr="00C3344F">
              <w:rPr>
                <w:b/>
                <w:sz w:val="24"/>
                <w:szCs w:val="24"/>
              </w:rPr>
              <w:t>целевой</w:t>
            </w:r>
            <w:proofErr w:type="gramEnd"/>
          </w:p>
        </w:tc>
        <w:tc>
          <w:tcPr>
            <w:tcW w:w="850" w:type="dxa"/>
            <w:shd w:val="clear" w:color="auto" w:fill="auto"/>
            <w:hideMark/>
          </w:tcPr>
          <w:p w:rsidR="00BC0D16" w:rsidRPr="00C3344F" w:rsidRDefault="00BC0D16" w:rsidP="00C3344F">
            <w:pPr>
              <w:jc w:val="center"/>
              <w:rPr>
                <w:b/>
                <w:sz w:val="24"/>
                <w:szCs w:val="24"/>
              </w:rPr>
            </w:pPr>
            <w:proofErr w:type="gramStart"/>
            <w:r w:rsidRPr="00C3344F">
              <w:rPr>
                <w:b/>
                <w:sz w:val="24"/>
                <w:szCs w:val="24"/>
              </w:rPr>
              <w:t>базовый</w:t>
            </w:r>
            <w:proofErr w:type="gramEnd"/>
          </w:p>
        </w:tc>
        <w:tc>
          <w:tcPr>
            <w:tcW w:w="851" w:type="dxa"/>
            <w:shd w:val="clear" w:color="auto" w:fill="auto"/>
            <w:hideMark/>
          </w:tcPr>
          <w:p w:rsidR="00BC0D16" w:rsidRPr="00C3344F" w:rsidRDefault="00BC0D16" w:rsidP="00C3344F">
            <w:pPr>
              <w:jc w:val="center"/>
              <w:rPr>
                <w:b/>
                <w:sz w:val="24"/>
                <w:szCs w:val="24"/>
              </w:rPr>
            </w:pPr>
            <w:proofErr w:type="gramStart"/>
            <w:r w:rsidRPr="00C3344F">
              <w:rPr>
                <w:b/>
                <w:sz w:val="24"/>
                <w:szCs w:val="24"/>
              </w:rPr>
              <w:t>целевой</w:t>
            </w:r>
            <w:proofErr w:type="gramEnd"/>
          </w:p>
        </w:tc>
        <w:tc>
          <w:tcPr>
            <w:tcW w:w="850" w:type="dxa"/>
            <w:shd w:val="clear" w:color="auto" w:fill="auto"/>
            <w:hideMark/>
          </w:tcPr>
          <w:p w:rsidR="00BC0D16" w:rsidRPr="00C3344F" w:rsidRDefault="00BC0D16" w:rsidP="00C3344F">
            <w:pPr>
              <w:jc w:val="center"/>
              <w:rPr>
                <w:b/>
                <w:sz w:val="24"/>
                <w:szCs w:val="24"/>
              </w:rPr>
            </w:pPr>
            <w:proofErr w:type="gramStart"/>
            <w:r w:rsidRPr="00C3344F">
              <w:rPr>
                <w:b/>
                <w:sz w:val="24"/>
                <w:szCs w:val="24"/>
              </w:rPr>
              <w:t>базовый</w:t>
            </w:r>
            <w:proofErr w:type="gramEnd"/>
          </w:p>
        </w:tc>
        <w:tc>
          <w:tcPr>
            <w:tcW w:w="851" w:type="dxa"/>
            <w:shd w:val="clear" w:color="auto" w:fill="auto"/>
            <w:hideMark/>
          </w:tcPr>
          <w:p w:rsidR="00BC0D16" w:rsidRPr="00C3344F" w:rsidRDefault="00BC0D16" w:rsidP="00C3344F">
            <w:pPr>
              <w:jc w:val="center"/>
              <w:rPr>
                <w:b/>
                <w:sz w:val="24"/>
                <w:szCs w:val="24"/>
              </w:rPr>
            </w:pPr>
            <w:proofErr w:type="gramStart"/>
            <w:r w:rsidRPr="00C3344F">
              <w:rPr>
                <w:b/>
                <w:sz w:val="24"/>
                <w:szCs w:val="24"/>
              </w:rPr>
              <w:t>целевой</w:t>
            </w:r>
            <w:proofErr w:type="gramEnd"/>
          </w:p>
        </w:tc>
        <w:tc>
          <w:tcPr>
            <w:tcW w:w="850" w:type="dxa"/>
            <w:shd w:val="clear" w:color="auto" w:fill="auto"/>
            <w:hideMark/>
          </w:tcPr>
          <w:p w:rsidR="00BC0D16" w:rsidRPr="00C3344F" w:rsidRDefault="00BC0D16" w:rsidP="00C3344F">
            <w:pPr>
              <w:jc w:val="center"/>
              <w:rPr>
                <w:b/>
                <w:sz w:val="24"/>
                <w:szCs w:val="24"/>
              </w:rPr>
            </w:pPr>
            <w:proofErr w:type="gramStart"/>
            <w:r w:rsidRPr="00C3344F">
              <w:rPr>
                <w:b/>
                <w:sz w:val="24"/>
                <w:szCs w:val="24"/>
              </w:rPr>
              <w:t>базовый</w:t>
            </w:r>
            <w:proofErr w:type="gramEnd"/>
          </w:p>
        </w:tc>
        <w:tc>
          <w:tcPr>
            <w:tcW w:w="851" w:type="dxa"/>
            <w:shd w:val="clear" w:color="auto" w:fill="auto"/>
            <w:hideMark/>
          </w:tcPr>
          <w:p w:rsidR="00BC0D16" w:rsidRPr="00C3344F" w:rsidRDefault="00BC0D16" w:rsidP="00C3344F">
            <w:pPr>
              <w:jc w:val="center"/>
              <w:rPr>
                <w:b/>
                <w:sz w:val="24"/>
                <w:szCs w:val="24"/>
              </w:rPr>
            </w:pPr>
            <w:proofErr w:type="gramStart"/>
            <w:r w:rsidRPr="00C3344F">
              <w:rPr>
                <w:b/>
                <w:sz w:val="24"/>
                <w:szCs w:val="24"/>
              </w:rPr>
              <w:t>целевой</w:t>
            </w:r>
            <w:proofErr w:type="gramEnd"/>
          </w:p>
        </w:tc>
        <w:tc>
          <w:tcPr>
            <w:tcW w:w="850" w:type="dxa"/>
            <w:shd w:val="clear" w:color="auto" w:fill="auto"/>
            <w:hideMark/>
          </w:tcPr>
          <w:p w:rsidR="00BC0D16" w:rsidRPr="00C3344F" w:rsidRDefault="00BC0D16" w:rsidP="00C3344F">
            <w:pPr>
              <w:jc w:val="center"/>
              <w:rPr>
                <w:b/>
                <w:sz w:val="24"/>
                <w:szCs w:val="24"/>
              </w:rPr>
            </w:pPr>
            <w:proofErr w:type="gramStart"/>
            <w:r w:rsidRPr="00C3344F">
              <w:rPr>
                <w:b/>
                <w:sz w:val="24"/>
                <w:szCs w:val="24"/>
              </w:rPr>
              <w:t>базовый</w:t>
            </w:r>
            <w:proofErr w:type="gramEnd"/>
          </w:p>
        </w:tc>
        <w:tc>
          <w:tcPr>
            <w:tcW w:w="851" w:type="dxa"/>
            <w:shd w:val="clear" w:color="auto" w:fill="auto"/>
            <w:hideMark/>
          </w:tcPr>
          <w:p w:rsidR="00BC0D16" w:rsidRPr="00C3344F" w:rsidRDefault="00BC0D16" w:rsidP="00C3344F">
            <w:pPr>
              <w:jc w:val="center"/>
              <w:rPr>
                <w:b/>
                <w:sz w:val="24"/>
                <w:szCs w:val="24"/>
              </w:rPr>
            </w:pPr>
            <w:proofErr w:type="gramStart"/>
            <w:r w:rsidRPr="00C3344F">
              <w:rPr>
                <w:b/>
                <w:sz w:val="24"/>
                <w:szCs w:val="24"/>
              </w:rPr>
              <w:t>целевой</w:t>
            </w:r>
            <w:proofErr w:type="gramEnd"/>
          </w:p>
        </w:tc>
        <w:tc>
          <w:tcPr>
            <w:tcW w:w="850" w:type="dxa"/>
            <w:shd w:val="clear" w:color="auto" w:fill="auto"/>
            <w:hideMark/>
          </w:tcPr>
          <w:p w:rsidR="00BC0D16" w:rsidRPr="00C3344F" w:rsidRDefault="00BC0D16" w:rsidP="00C3344F">
            <w:pPr>
              <w:jc w:val="center"/>
              <w:rPr>
                <w:b/>
                <w:sz w:val="24"/>
                <w:szCs w:val="24"/>
              </w:rPr>
            </w:pPr>
            <w:proofErr w:type="gramStart"/>
            <w:r w:rsidRPr="00C3344F">
              <w:rPr>
                <w:b/>
                <w:sz w:val="24"/>
                <w:szCs w:val="24"/>
              </w:rPr>
              <w:t>базовый</w:t>
            </w:r>
            <w:proofErr w:type="gramEnd"/>
          </w:p>
        </w:tc>
        <w:tc>
          <w:tcPr>
            <w:tcW w:w="851" w:type="dxa"/>
            <w:shd w:val="clear" w:color="auto" w:fill="auto"/>
            <w:hideMark/>
          </w:tcPr>
          <w:p w:rsidR="00BC0D16" w:rsidRPr="00C3344F" w:rsidRDefault="00BC0D16" w:rsidP="00C3344F">
            <w:pPr>
              <w:jc w:val="center"/>
              <w:rPr>
                <w:b/>
                <w:sz w:val="24"/>
                <w:szCs w:val="24"/>
              </w:rPr>
            </w:pPr>
            <w:proofErr w:type="gramStart"/>
            <w:r w:rsidRPr="00C3344F">
              <w:rPr>
                <w:b/>
                <w:sz w:val="24"/>
                <w:szCs w:val="24"/>
              </w:rPr>
              <w:t>целевой</w:t>
            </w:r>
            <w:proofErr w:type="gramEnd"/>
          </w:p>
        </w:tc>
      </w:tr>
      <w:tr w:rsidR="00BC0D16" w:rsidRPr="00C3344F" w:rsidTr="00C3344F">
        <w:trPr>
          <w:trHeight w:val="96"/>
          <w:jc w:val="right"/>
        </w:trPr>
        <w:tc>
          <w:tcPr>
            <w:tcW w:w="15881" w:type="dxa"/>
            <w:gridSpan w:val="17"/>
            <w:shd w:val="clear" w:color="auto" w:fill="auto"/>
            <w:hideMark/>
          </w:tcPr>
          <w:p w:rsidR="00BC0D16" w:rsidRPr="00C3344F" w:rsidRDefault="00BC0D16" w:rsidP="00C3344F">
            <w:pPr>
              <w:jc w:val="center"/>
              <w:rPr>
                <w:b/>
                <w:sz w:val="24"/>
                <w:szCs w:val="24"/>
              </w:rPr>
            </w:pPr>
            <w:r w:rsidRPr="00C3344F">
              <w:rPr>
                <w:b/>
                <w:sz w:val="24"/>
                <w:szCs w:val="24"/>
              </w:rPr>
              <w:t>Население</w:t>
            </w:r>
          </w:p>
        </w:tc>
      </w:tr>
      <w:tr w:rsidR="00BC0D16" w:rsidRPr="00C3344F" w:rsidTr="00C3344F">
        <w:trPr>
          <w:trHeight w:val="191"/>
          <w:jc w:val="right"/>
        </w:trPr>
        <w:tc>
          <w:tcPr>
            <w:tcW w:w="1564" w:type="dxa"/>
            <w:shd w:val="clear" w:color="auto" w:fill="auto"/>
            <w:hideMark/>
          </w:tcPr>
          <w:p w:rsidR="00BC0D16" w:rsidRPr="00C3344F" w:rsidRDefault="00BC0D16" w:rsidP="00C3344F">
            <w:pPr>
              <w:jc w:val="center"/>
              <w:rPr>
                <w:sz w:val="24"/>
                <w:szCs w:val="24"/>
              </w:rPr>
            </w:pPr>
            <w:r w:rsidRPr="00C3344F">
              <w:rPr>
                <w:sz w:val="24"/>
                <w:szCs w:val="24"/>
              </w:rPr>
              <w:t>Численность населения (в среднегодовом исчислении)</w:t>
            </w:r>
          </w:p>
        </w:tc>
        <w:tc>
          <w:tcPr>
            <w:tcW w:w="1417" w:type="dxa"/>
            <w:shd w:val="clear" w:color="auto" w:fill="auto"/>
            <w:hideMark/>
          </w:tcPr>
          <w:p w:rsidR="00BC0D16" w:rsidRPr="00C3344F" w:rsidRDefault="00BC0D16" w:rsidP="00C3344F">
            <w:pPr>
              <w:jc w:val="center"/>
              <w:rPr>
                <w:sz w:val="24"/>
                <w:szCs w:val="24"/>
              </w:rPr>
            </w:pPr>
            <w:r w:rsidRPr="00C3344F">
              <w:rPr>
                <w:sz w:val="24"/>
                <w:szCs w:val="24"/>
              </w:rPr>
              <w:t>тыс.</w:t>
            </w:r>
            <w:r w:rsidR="00E515FC" w:rsidRPr="00C3344F">
              <w:rPr>
                <w:sz w:val="24"/>
                <w:szCs w:val="24"/>
              </w:rPr>
              <w:t xml:space="preserve"> </w:t>
            </w:r>
            <w:r w:rsidRPr="00C3344F">
              <w:rPr>
                <w:sz w:val="24"/>
                <w:szCs w:val="24"/>
              </w:rPr>
              <w:t>чел.</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36,141</w:t>
            </w:r>
          </w:p>
        </w:tc>
        <w:tc>
          <w:tcPr>
            <w:tcW w:w="992" w:type="dxa"/>
            <w:shd w:val="clear" w:color="auto" w:fill="auto"/>
            <w:noWrap/>
            <w:vAlign w:val="bottom"/>
            <w:hideMark/>
          </w:tcPr>
          <w:p w:rsidR="00BC0D16" w:rsidRPr="00C3344F" w:rsidRDefault="00BC0D16" w:rsidP="00C3344F">
            <w:pPr>
              <w:jc w:val="center"/>
              <w:rPr>
                <w:sz w:val="24"/>
                <w:szCs w:val="24"/>
              </w:rPr>
            </w:pPr>
            <w:r w:rsidRPr="00C3344F">
              <w:rPr>
                <w:sz w:val="24"/>
                <w:szCs w:val="24"/>
              </w:rPr>
              <w:t>36,062</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35,996</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36,006</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36,012</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36,024</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36,042</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36,047</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36,075</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36,076</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36,110</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36,111</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36,141</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36,152</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36,191</w:t>
            </w:r>
          </w:p>
        </w:tc>
      </w:tr>
      <w:tr w:rsidR="00BC0D16" w:rsidRPr="00C3344F" w:rsidTr="00C3344F">
        <w:trPr>
          <w:trHeight w:val="96"/>
          <w:jc w:val="right"/>
        </w:trPr>
        <w:tc>
          <w:tcPr>
            <w:tcW w:w="15881" w:type="dxa"/>
            <w:gridSpan w:val="17"/>
            <w:shd w:val="clear" w:color="auto" w:fill="auto"/>
            <w:hideMark/>
          </w:tcPr>
          <w:p w:rsidR="00BC0D16" w:rsidRPr="00C3344F" w:rsidRDefault="00BC0D16" w:rsidP="00C3344F">
            <w:pPr>
              <w:jc w:val="center"/>
              <w:rPr>
                <w:b/>
                <w:sz w:val="24"/>
                <w:szCs w:val="24"/>
              </w:rPr>
            </w:pPr>
            <w:r w:rsidRPr="00C3344F">
              <w:rPr>
                <w:b/>
                <w:sz w:val="24"/>
                <w:szCs w:val="24"/>
              </w:rPr>
              <w:t>Промышленное производство</w:t>
            </w:r>
          </w:p>
        </w:tc>
      </w:tr>
      <w:tr w:rsidR="00BC0D16" w:rsidRPr="00C3344F" w:rsidTr="00C3344F">
        <w:trPr>
          <w:trHeight w:val="293"/>
          <w:jc w:val="right"/>
        </w:trPr>
        <w:tc>
          <w:tcPr>
            <w:tcW w:w="1564" w:type="dxa"/>
            <w:shd w:val="clear" w:color="000000" w:fill="FFFFFF"/>
            <w:hideMark/>
          </w:tcPr>
          <w:p w:rsidR="00BC0D16" w:rsidRPr="00C3344F" w:rsidRDefault="00BC0D16" w:rsidP="00C3344F">
            <w:pPr>
              <w:jc w:val="center"/>
              <w:rPr>
                <w:sz w:val="24"/>
                <w:szCs w:val="24"/>
              </w:rPr>
            </w:pPr>
            <w:r w:rsidRPr="00C3344F">
              <w:rPr>
                <w:sz w:val="24"/>
                <w:szCs w:val="24"/>
              </w:rPr>
              <w:t>Объем отгруженной продукции (работ</w:t>
            </w:r>
            <w:proofErr w:type="gramStart"/>
            <w:r w:rsidRPr="00C3344F">
              <w:rPr>
                <w:sz w:val="24"/>
                <w:szCs w:val="24"/>
              </w:rPr>
              <w:t>.</w:t>
            </w:r>
            <w:proofErr w:type="gramEnd"/>
            <w:r w:rsidRPr="00C3344F">
              <w:rPr>
                <w:sz w:val="24"/>
                <w:szCs w:val="24"/>
              </w:rPr>
              <w:t xml:space="preserve"> </w:t>
            </w:r>
            <w:proofErr w:type="gramStart"/>
            <w:r w:rsidRPr="00C3344F">
              <w:rPr>
                <w:sz w:val="24"/>
                <w:szCs w:val="24"/>
              </w:rPr>
              <w:t>у</w:t>
            </w:r>
            <w:proofErr w:type="gramEnd"/>
            <w:r w:rsidRPr="00C3344F">
              <w:rPr>
                <w:sz w:val="24"/>
                <w:szCs w:val="24"/>
              </w:rPr>
              <w:t>слуг)</w:t>
            </w:r>
          </w:p>
        </w:tc>
        <w:tc>
          <w:tcPr>
            <w:tcW w:w="1417" w:type="dxa"/>
            <w:shd w:val="clear" w:color="auto" w:fill="auto"/>
            <w:hideMark/>
          </w:tcPr>
          <w:p w:rsidR="00BC0D16" w:rsidRPr="00C3344F" w:rsidRDefault="00BC0D16" w:rsidP="00C3344F">
            <w:pPr>
              <w:jc w:val="center"/>
              <w:rPr>
                <w:sz w:val="24"/>
                <w:szCs w:val="24"/>
              </w:rPr>
            </w:pPr>
            <w:r w:rsidRPr="00C3344F">
              <w:rPr>
                <w:sz w:val="24"/>
                <w:szCs w:val="24"/>
              </w:rPr>
              <w:t>млрд. руб.</w:t>
            </w:r>
          </w:p>
        </w:tc>
        <w:tc>
          <w:tcPr>
            <w:tcW w:w="851" w:type="dxa"/>
            <w:shd w:val="clear" w:color="000000" w:fill="FFFFFF"/>
            <w:noWrap/>
            <w:vAlign w:val="center"/>
            <w:hideMark/>
          </w:tcPr>
          <w:p w:rsidR="00BC0D16" w:rsidRPr="00C3344F" w:rsidRDefault="00BC0D16" w:rsidP="00C3344F">
            <w:pPr>
              <w:jc w:val="center"/>
              <w:rPr>
                <w:sz w:val="24"/>
                <w:szCs w:val="24"/>
              </w:rPr>
            </w:pPr>
            <w:r w:rsidRPr="00C3344F">
              <w:rPr>
                <w:sz w:val="24"/>
                <w:szCs w:val="24"/>
              </w:rPr>
              <w:t>783, 54</w:t>
            </w:r>
          </w:p>
        </w:tc>
        <w:tc>
          <w:tcPr>
            <w:tcW w:w="992" w:type="dxa"/>
            <w:shd w:val="clear" w:color="000000" w:fill="FFFFFF"/>
            <w:noWrap/>
            <w:vAlign w:val="center"/>
            <w:hideMark/>
          </w:tcPr>
          <w:p w:rsidR="00BC0D16" w:rsidRPr="00C3344F" w:rsidRDefault="00BC0D16" w:rsidP="00C3344F">
            <w:pPr>
              <w:jc w:val="center"/>
              <w:rPr>
                <w:sz w:val="24"/>
                <w:szCs w:val="24"/>
              </w:rPr>
            </w:pPr>
            <w:r w:rsidRPr="00C3344F">
              <w:rPr>
                <w:sz w:val="24"/>
                <w:szCs w:val="24"/>
              </w:rPr>
              <w:t>1 047, 26</w:t>
            </w:r>
          </w:p>
        </w:tc>
        <w:tc>
          <w:tcPr>
            <w:tcW w:w="851" w:type="dxa"/>
            <w:shd w:val="clear" w:color="000000" w:fill="FFFFFF"/>
            <w:noWrap/>
            <w:vAlign w:val="center"/>
            <w:hideMark/>
          </w:tcPr>
          <w:p w:rsidR="00BC0D16" w:rsidRPr="00C3344F" w:rsidRDefault="00BC0D16" w:rsidP="00C3344F">
            <w:pPr>
              <w:jc w:val="center"/>
              <w:rPr>
                <w:sz w:val="24"/>
                <w:szCs w:val="24"/>
              </w:rPr>
            </w:pPr>
            <w:r w:rsidRPr="00C3344F">
              <w:rPr>
                <w:sz w:val="24"/>
                <w:szCs w:val="24"/>
              </w:rPr>
              <w:t>1098, 99</w:t>
            </w:r>
          </w:p>
        </w:tc>
        <w:tc>
          <w:tcPr>
            <w:tcW w:w="850" w:type="dxa"/>
            <w:shd w:val="clear" w:color="000000" w:fill="FFFFFF"/>
            <w:noWrap/>
            <w:vAlign w:val="center"/>
            <w:hideMark/>
          </w:tcPr>
          <w:p w:rsidR="00BC0D16" w:rsidRPr="00C3344F" w:rsidRDefault="00BC0D16" w:rsidP="00C3344F">
            <w:pPr>
              <w:jc w:val="center"/>
              <w:rPr>
                <w:sz w:val="24"/>
                <w:szCs w:val="24"/>
              </w:rPr>
            </w:pPr>
            <w:r w:rsidRPr="00C3344F">
              <w:rPr>
                <w:sz w:val="24"/>
                <w:szCs w:val="24"/>
              </w:rPr>
              <w:t>1 099,20</w:t>
            </w:r>
          </w:p>
        </w:tc>
        <w:tc>
          <w:tcPr>
            <w:tcW w:w="851" w:type="dxa"/>
            <w:shd w:val="clear" w:color="000000" w:fill="FFFFFF"/>
            <w:noWrap/>
            <w:vAlign w:val="center"/>
            <w:hideMark/>
          </w:tcPr>
          <w:p w:rsidR="00BC0D16" w:rsidRPr="00C3344F" w:rsidRDefault="00BC0D16" w:rsidP="00C3344F">
            <w:pPr>
              <w:jc w:val="center"/>
              <w:rPr>
                <w:sz w:val="24"/>
                <w:szCs w:val="24"/>
              </w:rPr>
            </w:pPr>
            <w:r w:rsidRPr="00C3344F">
              <w:rPr>
                <w:sz w:val="24"/>
                <w:szCs w:val="24"/>
              </w:rPr>
              <w:t>1 104, 34</w:t>
            </w:r>
          </w:p>
        </w:tc>
        <w:tc>
          <w:tcPr>
            <w:tcW w:w="850" w:type="dxa"/>
            <w:shd w:val="clear" w:color="000000" w:fill="FFFFFF"/>
            <w:noWrap/>
            <w:vAlign w:val="center"/>
            <w:hideMark/>
          </w:tcPr>
          <w:p w:rsidR="00BC0D16" w:rsidRPr="00C3344F" w:rsidRDefault="00BC0D16" w:rsidP="00C3344F">
            <w:pPr>
              <w:jc w:val="center"/>
              <w:rPr>
                <w:sz w:val="24"/>
                <w:szCs w:val="24"/>
              </w:rPr>
            </w:pPr>
            <w:r w:rsidRPr="00C3344F">
              <w:rPr>
                <w:sz w:val="24"/>
                <w:szCs w:val="24"/>
              </w:rPr>
              <w:t>1 096,34</w:t>
            </w:r>
          </w:p>
        </w:tc>
        <w:tc>
          <w:tcPr>
            <w:tcW w:w="851" w:type="dxa"/>
            <w:shd w:val="clear" w:color="000000" w:fill="FFFFFF"/>
            <w:noWrap/>
            <w:vAlign w:val="center"/>
            <w:hideMark/>
          </w:tcPr>
          <w:p w:rsidR="00BC0D16" w:rsidRPr="00C3344F" w:rsidRDefault="00BC0D16" w:rsidP="00C3344F">
            <w:pPr>
              <w:jc w:val="center"/>
              <w:rPr>
                <w:sz w:val="24"/>
                <w:szCs w:val="24"/>
              </w:rPr>
            </w:pPr>
            <w:r w:rsidRPr="00C3344F">
              <w:rPr>
                <w:sz w:val="24"/>
                <w:szCs w:val="24"/>
              </w:rPr>
              <w:t>1 106, 32</w:t>
            </w:r>
          </w:p>
        </w:tc>
        <w:tc>
          <w:tcPr>
            <w:tcW w:w="850" w:type="dxa"/>
            <w:shd w:val="clear" w:color="000000" w:fill="FFFFFF"/>
            <w:noWrap/>
            <w:vAlign w:val="center"/>
            <w:hideMark/>
          </w:tcPr>
          <w:p w:rsidR="00BC0D16" w:rsidRPr="00C3344F" w:rsidRDefault="00BC0D16" w:rsidP="00C3344F">
            <w:pPr>
              <w:jc w:val="center"/>
              <w:rPr>
                <w:sz w:val="24"/>
                <w:szCs w:val="24"/>
              </w:rPr>
            </w:pPr>
            <w:r w:rsidRPr="00C3344F">
              <w:rPr>
                <w:sz w:val="24"/>
                <w:szCs w:val="24"/>
              </w:rPr>
              <w:t>1 096, 48</w:t>
            </w:r>
          </w:p>
        </w:tc>
        <w:tc>
          <w:tcPr>
            <w:tcW w:w="851" w:type="dxa"/>
            <w:shd w:val="clear" w:color="000000" w:fill="FFFFFF"/>
            <w:noWrap/>
            <w:vAlign w:val="center"/>
            <w:hideMark/>
          </w:tcPr>
          <w:p w:rsidR="00BC0D16" w:rsidRPr="00C3344F" w:rsidRDefault="00BC0D16" w:rsidP="00C3344F">
            <w:pPr>
              <w:jc w:val="center"/>
              <w:rPr>
                <w:sz w:val="24"/>
                <w:szCs w:val="24"/>
              </w:rPr>
            </w:pPr>
            <w:r w:rsidRPr="00C3344F">
              <w:rPr>
                <w:sz w:val="24"/>
                <w:szCs w:val="24"/>
              </w:rPr>
              <w:t>1 110, 30</w:t>
            </w:r>
          </w:p>
        </w:tc>
        <w:tc>
          <w:tcPr>
            <w:tcW w:w="850" w:type="dxa"/>
            <w:shd w:val="clear" w:color="000000" w:fill="FFFFFF"/>
            <w:noWrap/>
            <w:vAlign w:val="center"/>
            <w:hideMark/>
          </w:tcPr>
          <w:p w:rsidR="00BC0D16" w:rsidRPr="00C3344F" w:rsidRDefault="00BC0D16" w:rsidP="00C3344F">
            <w:pPr>
              <w:jc w:val="center"/>
              <w:rPr>
                <w:sz w:val="24"/>
                <w:szCs w:val="24"/>
              </w:rPr>
            </w:pPr>
            <w:r w:rsidRPr="00C3344F">
              <w:rPr>
                <w:sz w:val="24"/>
                <w:szCs w:val="24"/>
              </w:rPr>
              <w:t>1 095,81</w:t>
            </w:r>
          </w:p>
        </w:tc>
        <w:tc>
          <w:tcPr>
            <w:tcW w:w="851" w:type="dxa"/>
            <w:shd w:val="clear" w:color="000000" w:fill="FFFFFF"/>
            <w:noWrap/>
            <w:vAlign w:val="center"/>
            <w:hideMark/>
          </w:tcPr>
          <w:p w:rsidR="00BC0D16" w:rsidRPr="00C3344F" w:rsidRDefault="00BC0D16" w:rsidP="00C3344F">
            <w:pPr>
              <w:jc w:val="center"/>
              <w:rPr>
                <w:sz w:val="24"/>
                <w:szCs w:val="24"/>
              </w:rPr>
            </w:pPr>
            <w:r w:rsidRPr="00C3344F">
              <w:rPr>
                <w:sz w:val="24"/>
                <w:szCs w:val="24"/>
              </w:rPr>
              <w:t>1 113, 76</w:t>
            </w:r>
          </w:p>
        </w:tc>
        <w:tc>
          <w:tcPr>
            <w:tcW w:w="850" w:type="dxa"/>
            <w:shd w:val="clear" w:color="000000" w:fill="FFFFFF"/>
            <w:noWrap/>
            <w:vAlign w:val="center"/>
            <w:hideMark/>
          </w:tcPr>
          <w:p w:rsidR="00BC0D16" w:rsidRPr="00C3344F" w:rsidRDefault="00BC0D16" w:rsidP="00C3344F">
            <w:pPr>
              <w:jc w:val="center"/>
              <w:rPr>
                <w:sz w:val="24"/>
                <w:szCs w:val="24"/>
              </w:rPr>
            </w:pPr>
            <w:r w:rsidRPr="00C3344F">
              <w:rPr>
                <w:sz w:val="24"/>
                <w:szCs w:val="24"/>
              </w:rPr>
              <w:t>1 095, 21</w:t>
            </w:r>
          </w:p>
        </w:tc>
        <w:tc>
          <w:tcPr>
            <w:tcW w:w="851" w:type="dxa"/>
            <w:shd w:val="clear" w:color="000000" w:fill="FFFFFF"/>
            <w:noWrap/>
            <w:vAlign w:val="center"/>
            <w:hideMark/>
          </w:tcPr>
          <w:p w:rsidR="00BC0D16" w:rsidRPr="00C3344F" w:rsidRDefault="00BC0D16" w:rsidP="00C3344F">
            <w:pPr>
              <w:jc w:val="center"/>
              <w:rPr>
                <w:sz w:val="24"/>
                <w:szCs w:val="24"/>
              </w:rPr>
            </w:pPr>
            <w:r w:rsidRPr="00C3344F">
              <w:rPr>
                <w:sz w:val="24"/>
                <w:szCs w:val="24"/>
              </w:rPr>
              <w:t>1 117, 29</w:t>
            </w:r>
          </w:p>
        </w:tc>
        <w:tc>
          <w:tcPr>
            <w:tcW w:w="850" w:type="dxa"/>
            <w:shd w:val="clear" w:color="000000" w:fill="FFFFFF"/>
            <w:noWrap/>
            <w:vAlign w:val="center"/>
            <w:hideMark/>
          </w:tcPr>
          <w:p w:rsidR="00BC0D16" w:rsidRPr="00C3344F" w:rsidRDefault="00BC0D16" w:rsidP="00C3344F">
            <w:pPr>
              <w:jc w:val="center"/>
              <w:rPr>
                <w:sz w:val="24"/>
                <w:szCs w:val="24"/>
              </w:rPr>
            </w:pPr>
            <w:r w:rsidRPr="00C3344F">
              <w:rPr>
                <w:sz w:val="24"/>
                <w:szCs w:val="24"/>
              </w:rPr>
              <w:t>1 096 71</w:t>
            </w:r>
          </w:p>
        </w:tc>
        <w:tc>
          <w:tcPr>
            <w:tcW w:w="851" w:type="dxa"/>
            <w:shd w:val="clear" w:color="000000" w:fill="FFFFFF"/>
            <w:noWrap/>
            <w:vAlign w:val="center"/>
            <w:hideMark/>
          </w:tcPr>
          <w:p w:rsidR="00BC0D16" w:rsidRPr="00C3344F" w:rsidRDefault="00BC0D16" w:rsidP="00C3344F">
            <w:pPr>
              <w:jc w:val="center"/>
              <w:rPr>
                <w:sz w:val="24"/>
                <w:szCs w:val="24"/>
              </w:rPr>
            </w:pPr>
            <w:r w:rsidRPr="00C3344F">
              <w:rPr>
                <w:sz w:val="24"/>
                <w:szCs w:val="24"/>
              </w:rPr>
              <w:t>1 121, 15</w:t>
            </w:r>
          </w:p>
        </w:tc>
      </w:tr>
      <w:tr w:rsidR="00BC0D16" w:rsidRPr="00C3344F" w:rsidTr="00C3344F">
        <w:trPr>
          <w:trHeight w:val="369"/>
          <w:jc w:val="right"/>
        </w:trPr>
        <w:tc>
          <w:tcPr>
            <w:tcW w:w="1564" w:type="dxa"/>
            <w:shd w:val="clear" w:color="000000" w:fill="FFFFFF"/>
            <w:hideMark/>
          </w:tcPr>
          <w:p w:rsidR="00BC0D16" w:rsidRPr="00C3344F" w:rsidRDefault="00BC0D16" w:rsidP="00C3344F">
            <w:pPr>
              <w:jc w:val="center"/>
              <w:rPr>
                <w:sz w:val="24"/>
                <w:szCs w:val="24"/>
              </w:rPr>
            </w:pPr>
            <w:r w:rsidRPr="00C3344F">
              <w:rPr>
                <w:sz w:val="24"/>
                <w:szCs w:val="24"/>
              </w:rPr>
              <w:t>Индекс промышленного производства</w:t>
            </w:r>
          </w:p>
        </w:tc>
        <w:tc>
          <w:tcPr>
            <w:tcW w:w="1417" w:type="dxa"/>
            <w:shd w:val="clear" w:color="000000" w:fill="FFFFFF"/>
            <w:hideMark/>
          </w:tcPr>
          <w:p w:rsidR="00BC0D16" w:rsidRPr="00C3344F" w:rsidRDefault="00BC0D16" w:rsidP="00C3344F">
            <w:pPr>
              <w:jc w:val="center"/>
              <w:rPr>
                <w:sz w:val="24"/>
                <w:szCs w:val="24"/>
              </w:rPr>
            </w:pPr>
            <w:r w:rsidRPr="00C3344F">
              <w:rPr>
                <w:sz w:val="24"/>
                <w:szCs w:val="24"/>
              </w:rPr>
              <w:t>% к предыдущему году в сопоставимых ценах</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97,2</w:t>
            </w:r>
          </w:p>
        </w:tc>
        <w:tc>
          <w:tcPr>
            <w:tcW w:w="992" w:type="dxa"/>
            <w:shd w:val="clear" w:color="auto" w:fill="auto"/>
            <w:noWrap/>
            <w:vAlign w:val="center"/>
            <w:hideMark/>
          </w:tcPr>
          <w:p w:rsidR="00BC0D16" w:rsidRPr="00C3344F" w:rsidRDefault="00BC0D16" w:rsidP="00C3344F">
            <w:pPr>
              <w:jc w:val="center"/>
              <w:rPr>
                <w:sz w:val="24"/>
                <w:szCs w:val="24"/>
              </w:rPr>
            </w:pPr>
            <w:r w:rsidRPr="00C3344F">
              <w:rPr>
                <w:sz w:val="24"/>
                <w:szCs w:val="24"/>
              </w:rPr>
              <w:t>100</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99,71</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99,71</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99,71</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99,71</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99,71</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99,71</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w:t>
            </w:r>
          </w:p>
        </w:tc>
      </w:tr>
      <w:tr w:rsidR="00BC0D16" w:rsidRPr="00C3344F" w:rsidTr="00C3344F">
        <w:trPr>
          <w:trHeight w:val="491"/>
          <w:jc w:val="right"/>
        </w:trPr>
        <w:tc>
          <w:tcPr>
            <w:tcW w:w="1564" w:type="dxa"/>
            <w:shd w:val="clear" w:color="auto" w:fill="auto"/>
            <w:hideMark/>
          </w:tcPr>
          <w:p w:rsidR="00BC0D16" w:rsidRPr="00C3344F" w:rsidRDefault="00BC0D16" w:rsidP="00C3344F">
            <w:pPr>
              <w:jc w:val="center"/>
              <w:rPr>
                <w:sz w:val="24"/>
                <w:szCs w:val="24"/>
              </w:rPr>
            </w:pPr>
            <w:r w:rsidRPr="00C3344F">
              <w:rPr>
                <w:sz w:val="24"/>
                <w:szCs w:val="24"/>
              </w:rPr>
              <w:t>Добыча полезных ископаемых (раздел В)</w:t>
            </w:r>
          </w:p>
        </w:tc>
        <w:tc>
          <w:tcPr>
            <w:tcW w:w="1417" w:type="dxa"/>
            <w:shd w:val="clear" w:color="auto" w:fill="auto"/>
            <w:hideMark/>
          </w:tcPr>
          <w:p w:rsidR="00BC0D16" w:rsidRPr="00C3344F" w:rsidRDefault="00BC0D16" w:rsidP="00C3344F">
            <w:pPr>
              <w:jc w:val="center"/>
              <w:rPr>
                <w:sz w:val="24"/>
                <w:szCs w:val="24"/>
              </w:rPr>
            </w:pPr>
            <w:r w:rsidRPr="00C3344F">
              <w:rPr>
                <w:sz w:val="24"/>
                <w:szCs w:val="24"/>
              </w:rPr>
              <w:t>% к предыдущему году в сопоставимых ценах</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96,88</w:t>
            </w:r>
          </w:p>
        </w:tc>
        <w:tc>
          <w:tcPr>
            <w:tcW w:w="992" w:type="dxa"/>
            <w:shd w:val="clear" w:color="auto" w:fill="auto"/>
            <w:noWrap/>
            <w:vAlign w:val="center"/>
            <w:hideMark/>
          </w:tcPr>
          <w:p w:rsidR="00BC0D16" w:rsidRPr="00C3344F" w:rsidRDefault="00BC0D16" w:rsidP="00C3344F">
            <w:pPr>
              <w:jc w:val="center"/>
              <w:rPr>
                <w:sz w:val="24"/>
                <w:szCs w:val="24"/>
              </w:rPr>
            </w:pPr>
            <w:r w:rsidRPr="00C3344F">
              <w:rPr>
                <w:sz w:val="24"/>
                <w:szCs w:val="24"/>
              </w:rPr>
              <w:t>100</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99,62</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99, 85</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99,62</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99, 85</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99,62</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99,85</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99,62</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99,85</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99,62</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99,85</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99,62</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99,85</w:t>
            </w:r>
          </w:p>
        </w:tc>
      </w:tr>
      <w:tr w:rsidR="00BC0D16" w:rsidRPr="00C3344F" w:rsidTr="00C3344F">
        <w:trPr>
          <w:trHeight w:val="387"/>
          <w:jc w:val="right"/>
        </w:trPr>
        <w:tc>
          <w:tcPr>
            <w:tcW w:w="1564" w:type="dxa"/>
            <w:shd w:val="clear" w:color="auto" w:fill="auto"/>
            <w:hideMark/>
          </w:tcPr>
          <w:p w:rsidR="00BC0D16" w:rsidRPr="00C3344F" w:rsidRDefault="00BC0D16" w:rsidP="00C3344F">
            <w:pPr>
              <w:jc w:val="center"/>
              <w:rPr>
                <w:sz w:val="24"/>
                <w:szCs w:val="24"/>
              </w:rPr>
            </w:pPr>
            <w:r w:rsidRPr="00C3344F">
              <w:rPr>
                <w:sz w:val="24"/>
                <w:szCs w:val="24"/>
              </w:rPr>
              <w:t>Обрабатывающие производства (раздел С)</w:t>
            </w:r>
          </w:p>
        </w:tc>
        <w:tc>
          <w:tcPr>
            <w:tcW w:w="1417" w:type="dxa"/>
            <w:shd w:val="clear" w:color="auto" w:fill="auto"/>
            <w:hideMark/>
          </w:tcPr>
          <w:p w:rsidR="00BC0D16" w:rsidRPr="00C3344F" w:rsidRDefault="00BC0D16" w:rsidP="00C3344F">
            <w:pPr>
              <w:jc w:val="center"/>
              <w:rPr>
                <w:sz w:val="24"/>
                <w:szCs w:val="24"/>
              </w:rPr>
            </w:pPr>
            <w:r w:rsidRPr="00C3344F">
              <w:rPr>
                <w:sz w:val="24"/>
                <w:szCs w:val="24"/>
              </w:rPr>
              <w:t>% к предыдущему году в сопоставимы</w:t>
            </w:r>
            <w:r w:rsidRPr="00C3344F">
              <w:rPr>
                <w:sz w:val="24"/>
                <w:szCs w:val="24"/>
              </w:rPr>
              <w:lastRenderedPageBreak/>
              <w:t>х ценах</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lastRenderedPageBreak/>
              <w:t>116,5</w:t>
            </w:r>
          </w:p>
        </w:tc>
        <w:tc>
          <w:tcPr>
            <w:tcW w:w="992" w:type="dxa"/>
            <w:shd w:val="clear" w:color="auto" w:fill="auto"/>
            <w:noWrap/>
            <w:vAlign w:val="center"/>
            <w:hideMark/>
          </w:tcPr>
          <w:p w:rsidR="00BC0D16" w:rsidRPr="00C3344F" w:rsidRDefault="00BC0D16" w:rsidP="00C3344F">
            <w:pPr>
              <w:jc w:val="center"/>
              <w:rPr>
                <w:sz w:val="24"/>
                <w:szCs w:val="24"/>
              </w:rPr>
            </w:pPr>
            <w:r w:rsidRPr="00C3344F">
              <w:rPr>
                <w:sz w:val="24"/>
                <w:szCs w:val="24"/>
              </w:rPr>
              <w:t>100</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100,22</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100,50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100,02</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100,30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100,02</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100,30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100,06</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100,36</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100,07</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100,40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100,07</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100,40</w:t>
            </w:r>
          </w:p>
        </w:tc>
      </w:tr>
      <w:tr w:rsidR="00BC0D16" w:rsidRPr="00C3344F" w:rsidTr="00C3344F">
        <w:trPr>
          <w:trHeight w:val="412"/>
          <w:jc w:val="right"/>
        </w:trPr>
        <w:tc>
          <w:tcPr>
            <w:tcW w:w="1564" w:type="dxa"/>
            <w:shd w:val="clear" w:color="auto" w:fill="auto"/>
            <w:hideMark/>
          </w:tcPr>
          <w:p w:rsidR="00BC0D16" w:rsidRPr="00C3344F" w:rsidRDefault="00BC0D16" w:rsidP="00C3344F">
            <w:pPr>
              <w:jc w:val="center"/>
              <w:rPr>
                <w:sz w:val="24"/>
                <w:szCs w:val="24"/>
              </w:rPr>
            </w:pPr>
            <w:r w:rsidRPr="00C3344F">
              <w:rPr>
                <w:sz w:val="24"/>
                <w:szCs w:val="24"/>
              </w:rPr>
              <w:lastRenderedPageBreak/>
              <w:t>Обеспечение электрической энергией, газом и паром; кондиционирование воздуха (раздел D)</w:t>
            </w:r>
          </w:p>
        </w:tc>
        <w:tc>
          <w:tcPr>
            <w:tcW w:w="1417" w:type="dxa"/>
            <w:shd w:val="clear" w:color="auto" w:fill="auto"/>
            <w:hideMark/>
          </w:tcPr>
          <w:p w:rsidR="00BC0D16" w:rsidRPr="00C3344F" w:rsidRDefault="00BC0D16" w:rsidP="00C3344F">
            <w:pPr>
              <w:jc w:val="center"/>
              <w:rPr>
                <w:sz w:val="24"/>
                <w:szCs w:val="24"/>
              </w:rPr>
            </w:pPr>
            <w:r w:rsidRPr="00C3344F">
              <w:rPr>
                <w:sz w:val="24"/>
                <w:szCs w:val="24"/>
              </w:rPr>
              <w:t>% к предыдущему году в сопоставимых ценах</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96,8</w:t>
            </w:r>
          </w:p>
        </w:tc>
        <w:tc>
          <w:tcPr>
            <w:tcW w:w="992" w:type="dxa"/>
            <w:shd w:val="clear" w:color="auto" w:fill="auto"/>
            <w:noWrap/>
            <w:vAlign w:val="center"/>
            <w:hideMark/>
          </w:tcPr>
          <w:p w:rsidR="00BC0D16" w:rsidRPr="00C3344F" w:rsidRDefault="00BC0D16" w:rsidP="00C3344F">
            <w:pPr>
              <w:jc w:val="center"/>
              <w:rPr>
                <w:sz w:val="24"/>
                <w:szCs w:val="24"/>
              </w:rPr>
            </w:pPr>
            <w:r w:rsidRPr="00C3344F">
              <w:rPr>
                <w:sz w:val="24"/>
                <w:szCs w:val="24"/>
              </w:rPr>
              <w:t>98,4</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100,3</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100,50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87,6</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97,0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100,1</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100,20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100,10</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100,20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100,10</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100,20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100,10</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100,20</w:t>
            </w:r>
          </w:p>
        </w:tc>
      </w:tr>
      <w:tr w:rsidR="00BC0D16" w:rsidRPr="00C3344F" w:rsidTr="00C3344F">
        <w:trPr>
          <w:trHeight w:val="503"/>
          <w:jc w:val="right"/>
        </w:trPr>
        <w:tc>
          <w:tcPr>
            <w:tcW w:w="1564" w:type="dxa"/>
            <w:shd w:val="clear" w:color="auto" w:fill="auto"/>
            <w:hideMark/>
          </w:tcPr>
          <w:p w:rsidR="00BC0D16" w:rsidRPr="00C3344F" w:rsidRDefault="00BC0D16" w:rsidP="00C3344F">
            <w:pPr>
              <w:jc w:val="center"/>
              <w:rPr>
                <w:sz w:val="24"/>
                <w:szCs w:val="24"/>
              </w:rPr>
            </w:pPr>
            <w:r w:rsidRPr="00C3344F">
              <w:rPr>
                <w:sz w:val="24"/>
                <w:szCs w:val="24"/>
              </w:rPr>
              <w:t>Водоснабжение; водоотведение, организация сбора и утилизации отходов, деятельность по ликвидации загрязнений (раздел Е)</w:t>
            </w:r>
          </w:p>
        </w:tc>
        <w:tc>
          <w:tcPr>
            <w:tcW w:w="1417" w:type="dxa"/>
            <w:shd w:val="clear" w:color="auto" w:fill="auto"/>
            <w:hideMark/>
          </w:tcPr>
          <w:p w:rsidR="00BC0D16" w:rsidRPr="00C3344F" w:rsidRDefault="00BC0D16" w:rsidP="00C3344F">
            <w:pPr>
              <w:jc w:val="center"/>
              <w:rPr>
                <w:sz w:val="24"/>
                <w:szCs w:val="24"/>
              </w:rPr>
            </w:pPr>
            <w:r w:rsidRPr="00C3344F">
              <w:rPr>
                <w:sz w:val="24"/>
                <w:szCs w:val="24"/>
              </w:rPr>
              <w:t>% к предыдущему году в сопоставимых ценах</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w:t>
            </w:r>
          </w:p>
        </w:tc>
        <w:tc>
          <w:tcPr>
            <w:tcW w:w="992" w:type="dxa"/>
            <w:shd w:val="clear" w:color="auto" w:fill="auto"/>
            <w:noWrap/>
            <w:vAlign w:val="center"/>
            <w:hideMark/>
          </w:tcPr>
          <w:p w:rsidR="00BC0D16" w:rsidRPr="00C3344F" w:rsidRDefault="00BC0D16" w:rsidP="00C3344F">
            <w:pPr>
              <w:jc w:val="center"/>
              <w:rPr>
                <w:sz w:val="24"/>
                <w:szCs w:val="24"/>
              </w:rPr>
            </w:pPr>
            <w:r w:rsidRPr="00C3344F">
              <w:rPr>
                <w:sz w:val="24"/>
                <w:szCs w:val="24"/>
              </w:rPr>
              <w:t>100</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100,00</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101,00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100,00</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101,00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100,00</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101,00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100,00</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101,00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100,00</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101,00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100,00</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101,00</w:t>
            </w:r>
          </w:p>
        </w:tc>
      </w:tr>
      <w:tr w:rsidR="00BC0D16" w:rsidRPr="00C3344F" w:rsidTr="00C3344F">
        <w:trPr>
          <w:trHeight w:val="96"/>
          <w:jc w:val="right"/>
        </w:trPr>
        <w:tc>
          <w:tcPr>
            <w:tcW w:w="15881" w:type="dxa"/>
            <w:gridSpan w:val="17"/>
            <w:shd w:val="clear" w:color="auto" w:fill="auto"/>
            <w:hideMark/>
          </w:tcPr>
          <w:p w:rsidR="00BC0D16" w:rsidRPr="00C3344F" w:rsidRDefault="00BC0D16" w:rsidP="00C3344F">
            <w:pPr>
              <w:jc w:val="center"/>
              <w:rPr>
                <w:b/>
                <w:sz w:val="24"/>
                <w:szCs w:val="24"/>
              </w:rPr>
            </w:pPr>
            <w:r w:rsidRPr="00C3344F">
              <w:rPr>
                <w:b/>
                <w:sz w:val="24"/>
                <w:szCs w:val="24"/>
              </w:rPr>
              <w:t>Сельское хозяйство</w:t>
            </w:r>
          </w:p>
        </w:tc>
      </w:tr>
      <w:tr w:rsidR="00BC0D16" w:rsidRPr="00C3344F" w:rsidTr="00C3344F">
        <w:trPr>
          <w:trHeight w:val="208"/>
          <w:jc w:val="right"/>
        </w:trPr>
        <w:tc>
          <w:tcPr>
            <w:tcW w:w="1564" w:type="dxa"/>
            <w:shd w:val="clear" w:color="auto" w:fill="auto"/>
            <w:hideMark/>
          </w:tcPr>
          <w:p w:rsidR="00BC0D16" w:rsidRPr="00C3344F" w:rsidRDefault="00BC0D16" w:rsidP="00C3344F">
            <w:pPr>
              <w:jc w:val="center"/>
              <w:rPr>
                <w:sz w:val="24"/>
                <w:szCs w:val="24"/>
              </w:rPr>
            </w:pPr>
            <w:r w:rsidRPr="00C3344F">
              <w:rPr>
                <w:sz w:val="24"/>
                <w:szCs w:val="24"/>
              </w:rPr>
              <w:t>Продукция сельского хозяйства</w:t>
            </w:r>
          </w:p>
        </w:tc>
        <w:tc>
          <w:tcPr>
            <w:tcW w:w="1417" w:type="dxa"/>
            <w:shd w:val="clear" w:color="auto" w:fill="auto"/>
            <w:hideMark/>
          </w:tcPr>
          <w:p w:rsidR="00BC0D16" w:rsidRPr="00C3344F" w:rsidRDefault="00BC0D16" w:rsidP="00C3344F">
            <w:pPr>
              <w:jc w:val="center"/>
              <w:rPr>
                <w:sz w:val="24"/>
                <w:szCs w:val="24"/>
              </w:rPr>
            </w:pPr>
            <w:r w:rsidRPr="00C3344F">
              <w:rPr>
                <w:sz w:val="24"/>
                <w:szCs w:val="24"/>
              </w:rPr>
              <w:t>млн. руб.</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646,7</w:t>
            </w:r>
          </w:p>
        </w:tc>
        <w:tc>
          <w:tcPr>
            <w:tcW w:w="992" w:type="dxa"/>
            <w:shd w:val="clear" w:color="auto" w:fill="auto"/>
            <w:noWrap/>
            <w:vAlign w:val="center"/>
            <w:hideMark/>
          </w:tcPr>
          <w:p w:rsidR="00BC0D16" w:rsidRPr="00C3344F" w:rsidRDefault="00BC0D16" w:rsidP="00C3344F">
            <w:pPr>
              <w:jc w:val="center"/>
              <w:rPr>
                <w:sz w:val="24"/>
                <w:szCs w:val="24"/>
              </w:rPr>
            </w:pPr>
            <w:r w:rsidRPr="00C3344F">
              <w:rPr>
                <w:sz w:val="24"/>
                <w:szCs w:val="24"/>
              </w:rPr>
              <w:t>683,67</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691,47</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721,64</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738,92</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753,34</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782,05</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786,87</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827,81</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822,38</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876,34</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859,59</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927,75</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898,59</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982,29</w:t>
            </w:r>
          </w:p>
        </w:tc>
      </w:tr>
      <w:tr w:rsidR="00BC0D16" w:rsidRPr="00C3344F" w:rsidTr="00C3344F">
        <w:trPr>
          <w:trHeight w:val="395"/>
          <w:jc w:val="right"/>
        </w:trPr>
        <w:tc>
          <w:tcPr>
            <w:tcW w:w="1564" w:type="dxa"/>
            <w:shd w:val="clear" w:color="auto" w:fill="auto"/>
            <w:hideMark/>
          </w:tcPr>
          <w:p w:rsidR="00BC0D16" w:rsidRPr="00C3344F" w:rsidRDefault="00BC0D16" w:rsidP="00C3344F">
            <w:pPr>
              <w:jc w:val="center"/>
              <w:rPr>
                <w:sz w:val="24"/>
                <w:szCs w:val="24"/>
              </w:rPr>
            </w:pPr>
            <w:r w:rsidRPr="00C3344F">
              <w:rPr>
                <w:sz w:val="24"/>
                <w:szCs w:val="24"/>
              </w:rPr>
              <w:t>Индекс производства продукции сельского хозяйства</w:t>
            </w:r>
          </w:p>
        </w:tc>
        <w:tc>
          <w:tcPr>
            <w:tcW w:w="1417" w:type="dxa"/>
            <w:shd w:val="clear" w:color="auto" w:fill="auto"/>
            <w:hideMark/>
          </w:tcPr>
          <w:p w:rsidR="00BC0D16" w:rsidRPr="00C3344F" w:rsidRDefault="00BC0D16" w:rsidP="00C3344F">
            <w:pPr>
              <w:jc w:val="center"/>
              <w:rPr>
                <w:sz w:val="24"/>
                <w:szCs w:val="24"/>
              </w:rPr>
            </w:pPr>
            <w:r w:rsidRPr="00C3344F">
              <w:rPr>
                <w:sz w:val="24"/>
                <w:szCs w:val="24"/>
              </w:rPr>
              <w:t>% к предыдущему году в сопоставимых ценах</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103,85</w:t>
            </w:r>
          </w:p>
        </w:tc>
        <w:tc>
          <w:tcPr>
            <w:tcW w:w="992" w:type="dxa"/>
            <w:shd w:val="clear" w:color="auto" w:fill="auto"/>
            <w:noWrap/>
            <w:vAlign w:val="center"/>
            <w:hideMark/>
          </w:tcPr>
          <w:p w:rsidR="00BC0D16" w:rsidRPr="00C3344F" w:rsidRDefault="00BC0D16" w:rsidP="00C3344F">
            <w:pPr>
              <w:jc w:val="center"/>
              <w:rPr>
                <w:sz w:val="24"/>
                <w:szCs w:val="24"/>
              </w:rPr>
            </w:pPr>
            <w:r w:rsidRPr="00C3344F">
              <w:rPr>
                <w:sz w:val="24"/>
                <w:szCs w:val="24"/>
              </w:rPr>
              <w:t>100,95</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101,8</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101</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103,0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101,01</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102,0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101,06</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102,01</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101,11</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102,01</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101,11</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102,01</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101,11</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102,01</w:t>
            </w:r>
          </w:p>
        </w:tc>
      </w:tr>
      <w:tr w:rsidR="00BC0D16" w:rsidRPr="00C3344F" w:rsidTr="00C3344F">
        <w:trPr>
          <w:trHeight w:val="96"/>
          <w:jc w:val="right"/>
        </w:trPr>
        <w:tc>
          <w:tcPr>
            <w:tcW w:w="15881" w:type="dxa"/>
            <w:gridSpan w:val="17"/>
            <w:shd w:val="clear" w:color="auto" w:fill="auto"/>
            <w:hideMark/>
          </w:tcPr>
          <w:p w:rsidR="00BC0D16" w:rsidRPr="00C3344F" w:rsidRDefault="00BC0D16" w:rsidP="00C3344F">
            <w:pPr>
              <w:jc w:val="center"/>
              <w:rPr>
                <w:b/>
                <w:sz w:val="24"/>
                <w:szCs w:val="24"/>
              </w:rPr>
            </w:pPr>
            <w:r w:rsidRPr="00C3344F">
              <w:rPr>
                <w:b/>
                <w:sz w:val="24"/>
                <w:szCs w:val="24"/>
              </w:rPr>
              <w:t>Строительство</w:t>
            </w:r>
          </w:p>
        </w:tc>
      </w:tr>
      <w:tr w:rsidR="00BC0D16" w:rsidRPr="00C3344F" w:rsidTr="00C3344F">
        <w:trPr>
          <w:trHeight w:val="236"/>
          <w:jc w:val="right"/>
        </w:trPr>
        <w:tc>
          <w:tcPr>
            <w:tcW w:w="1564" w:type="dxa"/>
            <w:shd w:val="clear" w:color="auto" w:fill="auto"/>
            <w:hideMark/>
          </w:tcPr>
          <w:p w:rsidR="00BC0D16" w:rsidRPr="00C3344F" w:rsidRDefault="00BC0D16" w:rsidP="00C3344F">
            <w:pPr>
              <w:jc w:val="center"/>
              <w:rPr>
                <w:sz w:val="24"/>
                <w:szCs w:val="24"/>
              </w:rPr>
            </w:pPr>
            <w:r w:rsidRPr="00C3344F">
              <w:rPr>
                <w:sz w:val="24"/>
                <w:szCs w:val="24"/>
              </w:rPr>
              <w:lastRenderedPageBreak/>
              <w:t>Ввод в действие жилых домов</w:t>
            </w:r>
          </w:p>
        </w:tc>
        <w:tc>
          <w:tcPr>
            <w:tcW w:w="1417" w:type="dxa"/>
            <w:shd w:val="clear" w:color="auto" w:fill="auto"/>
            <w:hideMark/>
          </w:tcPr>
          <w:p w:rsidR="00BC0D16" w:rsidRPr="00C3344F" w:rsidRDefault="00BC0D16" w:rsidP="00C3344F">
            <w:pPr>
              <w:jc w:val="center"/>
              <w:rPr>
                <w:sz w:val="24"/>
                <w:szCs w:val="24"/>
              </w:rPr>
            </w:pPr>
            <w:r w:rsidRPr="00C3344F">
              <w:rPr>
                <w:sz w:val="24"/>
                <w:szCs w:val="24"/>
              </w:rPr>
              <w:t>тыс. кв. м. в общей площади</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6,42</w:t>
            </w:r>
          </w:p>
        </w:tc>
        <w:tc>
          <w:tcPr>
            <w:tcW w:w="992" w:type="dxa"/>
            <w:shd w:val="clear" w:color="auto" w:fill="auto"/>
            <w:noWrap/>
            <w:vAlign w:val="center"/>
            <w:hideMark/>
          </w:tcPr>
          <w:p w:rsidR="00BC0D16" w:rsidRPr="00C3344F" w:rsidRDefault="00BC0D16" w:rsidP="00C3344F">
            <w:pPr>
              <w:jc w:val="center"/>
              <w:rPr>
                <w:sz w:val="24"/>
                <w:szCs w:val="24"/>
              </w:rPr>
            </w:pPr>
            <w:r w:rsidRPr="00C3344F">
              <w:rPr>
                <w:sz w:val="24"/>
                <w:szCs w:val="24"/>
              </w:rPr>
              <w:t>10,35</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13,8</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12,0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12,0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12,0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12,0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12,0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12,0</w:t>
            </w:r>
          </w:p>
        </w:tc>
      </w:tr>
      <w:tr w:rsidR="00BC0D16" w:rsidRPr="00C3344F" w:rsidTr="00C3344F">
        <w:trPr>
          <w:trHeight w:val="96"/>
          <w:jc w:val="right"/>
        </w:trPr>
        <w:tc>
          <w:tcPr>
            <w:tcW w:w="15881" w:type="dxa"/>
            <w:gridSpan w:val="17"/>
            <w:shd w:val="clear" w:color="auto" w:fill="auto"/>
            <w:hideMark/>
          </w:tcPr>
          <w:p w:rsidR="00BC0D16" w:rsidRPr="00C3344F" w:rsidRDefault="00BC0D16" w:rsidP="00C3344F">
            <w:pPr>
              <w:jc w:val="center"/>
              <w:rPr>
                <w:b/>
                <w:sz w:val="24"/>
                <w:szCs w:val="24"/>
              </w:rPr>
            </w:pPr>
            <w:r w:rsidRPr="00C3344F">
              <w:rPr>
                <w:b/>
                <w:sz w:val="24"/>
                <w:szCs w:val="24"/>
              </w:rPr>
              <w:t>Торговля и услуги населению</w:t>
            </w:r>
          </w:p>
        </w:tc>
      </w:tr>
      <w:tr w:rsidR="00BC0D16" w:rsidRPr="00C3344F" w:rsidTr="00C3344F">
        <w:trPr>
          <w:trHeight w:val="96"/>
          <w:jc w:val="right"/>
        </w:trPr>
        <w:tc>
          <w:tcPr>
            <w:tcW w:w="1564" w:type="dxa"/>
            <w:shd w:val="clear" w:color="auto" w:fill="auto"/>
            <w:hideMark/>
          </w:tcPr>
          <w:p w:rsidR="00BC0D16" w:rsidRPr="00C3344F" w:rsidRDefault="00BC0D16" w:rsidP="00C3344F">
            <w:pPr>
              <w:jc w:val="center"/>
              <w:rPr>
                <w:sz w:val="24"/>
                <w:szCs w:val="24"/>
              </w:rPr>
            </w:pPr>
            <w:r w:rsidRPr="00C3344F">
              <w:rPr>
                <w:sz w:val="24"/>
                <w:szCs w:val="24"/>
              </w:rPr>
              <w:t>Индекс потребительских цен на конец года</w:t>
            </w:r>
          </w:p>
        </w:tc>
        <w:tc>
          <w:tcPr>
            <w:tcW w:w="1417" w:type="dxa"/>
            <w:shd w:val="clear" w:color="auto" w:fill="auto"/>
            <w:hideMark/>
          </w:tcPr>
          <w:p w:rsidR="00BC0D16" w:rsidRPr="00C3344F" w:rsidRDefault="00BC0D16" w:rsidP="00C3344F">
            <w:pPr>
              <w:jc w:val="center"/>
              <w:rPr>
                <w:sz w:val="24"/>
                <w:szCs w:val="24"/>
              </w:rPr>
            </w:pPr>
            <w:r w:rsidRPr="00C3344F">
              <w:rPr>
                <w:sz w:val="24"/>
                <w:szCs w:val="24"/>
              </w:rPr>
              <w:t>% к декабрю предыдущего года</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103,1</w:t>
            </w:r>
          </w:p>
        </w:tc>
        <w:tc>
          <w:tcPr>
            <w:tcW w:w="992" w:type="dxa"/>
            <w:shd w:val="clear" w:color="auto" w:fill="auto"/>
            <w:noWrap/>
            <w:vAlign w:val="bottom"/>
            <w:hideMark/>
          </w:tcPr>
          <w:p w:rsidR="00BC0D16" w:rsidRPr="00C3344F" w:rsidRDefault="00BC0D16" w:rsidP="00C3344F">
            <w:pPr>
              <w:jc w:val="center"/>
              <w:rPr>
                <w:sz w:val="24"/>
                <w:szCs w:val="24"/>
              </w:rPr>
            </w:pPr>
            <w:r w:rsidRPr="00C3344F">
              <w:rPr>
                <w:sz w:val="24"/>
                <w:szCs w:val="24"/>
              </w:rPr>
              <w:t>102,0</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104,3</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103,8</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103,8</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104,0</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104,0</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104,0</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104,0</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104,0</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104,0</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104,0</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104,0</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104,0</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104,0</w:t>
            </w:r>
          </w:p>
        </w:tc>
      </w:tr>
      <w:tr w:rsidR="00BC0D16" w:rsidRPr="00C3344F" w:rsidTr="00C3344F">
        <w:trPr>
          <w:trHeight w:val="216"/>
          <w:jc w:val="right"/>
        </w:trPr>
        <w:tc>
          <w:tcPr>
            <w:tcW w:w="1564" w:type="dxa"/>
            <w:shd w:val="clear" w:color="auto" w:fill="auto"/>
            <w:hideMark/>
          </w:tcPr>
          <w:p w:rsidR="00BC0D16" w:rsidRPr="00C3344F" w:rsidRDefault="00BC0D16" w:rsidP="00C3344F">
            <w:pPr>
              <w:jc w:val="center"/>
              <w:rPr>
                <w:sz w:val="24"/>
                <w:szCs w:val="24"/>
              </w:rPr>
            </w:pPr>
            <w:r w:rsidRPr="00C3344F">
              <w:rPr>
                <w:sz w:val="24"/>
                <w:szCs w:val="24"/>
              </w:rPr>
              <w:t>Оборот розничной торговли</w:t>
            </w:r>
          </w:p>
        </w:tc>
        <w:tc>
          <w:tcPr>
            <w:tcW w:w="1417" w:type="dxa"/>
            <w:shd w:val="clear" w:color="auto" w:fill="auto"/>
            <w:hideMark/>
          </w:tcPr>
          <w:p w:rsidR="00BC0D16" w:rsidRPr="00C3344F" w:rsidRDefault="00BC0D16" w:rsidP="00C3344F">
            <w:pPr>
              <w:jc w:val="center"/>
              <w:rPr>
                <w:sz w:val="24"/>
                <w:szCs w:val="24"/>
              </w:rPr>
            </w:pPr>
            <w:r w:rsidRPr="00C3344F">
              <w:rPr>
                <w:sz w:val="24"/>
                <w:szCs w:val="24"/>
              </w:rPr>
              <w:t>млн. рублей</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2652,37</w:t>
            </w:r>
          </w:p>
        </w:tc>
        <w:tc>
          <w:tcPr>
            <w:tcW w:w="992" w:type="dxa"/>
            <w:shd w:val="clear" w:color="auto" w:fill="auto"/>
            <w:noWrap/>
            <w:vAlign w:val="center"/>
            <w:hideMark/>
          </w:tcPr>
          <w:p w:rsidR="00BC0D16" w:rsidRPr="00C3344F" w:rsidRDefault="00BC0D16" w:rsidP="00C3344F">
            <w:pPr>
              <w:jc w:val="center"/>
              <w:rPr>
                <w:sz w:val="24"/>
                <w:szCs w:val="24"/>
              </w:rPr>
            </w:pPr>
            <w:r w:rsidRPr="00C3344F">
              <w:rPr>
                <w:sz w:val="24"/>
                <w:szCs w:val="24"/>
              </w:rPr>
              <w:t>2742,12</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2764,06</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2833,16</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2863,57</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2909,66</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2952,34</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2932,64</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2990,13</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2964,90</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3031,99</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3003,45</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3086,56</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3040,99</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3128,54</w:t>
            </w:r>
          </w:p>
        </w:tc>
      </w:tr>
      <w:tr w:rsidR="00BC0D16" w:rsidRPr="00C3344F" w:rsidTr="00C3344F">
        <w:trPr>
          <w:trHeight w:val="403"/>
          <w:jc w:val="right"/>
        </w:trPr>
        <w:tc>
          <w:tcPr>
            <w:tcW w:w="1564" w:type="dxa"/>
            <w:shd w:val="clear" w:color="auto" w:fill="auto"/>
            <w:hideMark/>
          </w:tcPr>
          <w:p w:rsidR="00BC0D16" w:rsidRPr="00C3344F" w:rsidRDefault="00BC0D16" w:rsidP="00C3344F">
            <w:pPr>
              <w:jc w:val="center"/>
              <w:rPr>
                <w:sz w:val="24"/>
                <w:szCs w:val="24"/>
              </w:rPr>
            </w:pPr>
            <w:r w:rsidRPr="00C3344F">
              <w:rPr>
                <w:sz w:val="24"/>
                <w:szCs w:val="24"/>
              </w:rPr>
              <w:t>Темп роста оборота розничной торговли</w:t>
            </w:r>
          </w:p>
        </w:tc>
        <w:tc>
          <w:tcPr>
            <w:tcW w:w="1417" w:type="dxa"/>
            <w:shd w:val="clear" w:color="auto" w:fill="auto"/>
            <w:hideMark/>
          </w:tcPr>
          <w:p w:rsidR="00BC0D16" w:rsidRPr="00C3344F" w:rsidRDefault="00BC0D16" w:rsidP="00C3344F">
            <w:pPr>
              <w:jc w:val="center"/>
              <w:rPr>
                <w:sz w:val="24"/>
                <w:szCs w:val="24"/>
              </w:rPr>
            </w:pPr>
            <w:r w:rsidRPr="00C3344F">
              <w:rPr>
                <w:sz w:val="24"/>
                <w:szCs w:val="24"/>
              </w:rPr>
              <w:t>% к предыдущему году в сопоставимых ценах</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100,21</w:t>
            </w:r>
          </w:p>
        </w:tc>
        <w:tc>
          <w:tcPr>
            <w:tcW w:w="992" w:type="dxa"/>
            <w:shd w:val="clear" w:color="auto" w:fill="auto"/>
            <w:noWrap/>
            <w:vAlign w:val="center"/>
            <w:hideMark/>
          </w:tcPr>
          <w:p w:rsidR="00BC0D16" w:rsidRPr="00C3344F" w:rsidRDefault="00BC0D16" w:rsidP="00C3344F">
            <w:pPr>
              <w:jc w:val="center"/>
              <w:rPr>
                <w:sz w:val="24"/>
                <w:szCs w:val="24"/>
              </w:rPr>
            </w:pPr>
            <w:r w:rsidRPr="00C3344F">
              <w:rPr>
                <w:sz w:val="24"/>
                <w:szCs w:val="24"/>
              </w:rPr>
              <w:t>100,59</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100,99</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100,59</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100,98</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100,59</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100,88</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100,59</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100,98</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100,90</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101,30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101,10</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101,50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101,05</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101,36</w:t>
            </w:r>
          </w:p>
        </w:tc>
      </w:tr>
      <w:tr w:rsidR="00BC0D16" w:rsidRPr="00C3344F" w:rsidTr="00C3344F">
        <w:trPr>
          <w:trHeight w:val="241"/>
          <w:jc w:val="right"/>
        </w:trPr>
        <w:tc>
          <w:tcPr>
            <w:tcW w:w="1564" w:type="dxa"/>
            <w:shd w:val="clear" w:color="auto" w:fill="auto"/>
            <w:hideMark/>
          </w:tcPr>
          <w:p w:rsidR="00BC0D16" w:rsidRPr="00C3344F" w:rsidRDefault="00BC0D16" w:rsidP="00C3344F">
            <w:pPr>
              <w:jc w:val="center"/>
              <w:rPr>
                <w:sz w:val="24"/>
                <w:szCs w:val="24"/>
              </w:rPr>
            </w:pPr>
            <w:r w:rsidRPr="00C3344F">
              <w:rPr>
                <w:sz w:val="24"/>
                <w:szCs w:val="24"/>
              </w:rPr>
              <w:t>Объем платных услуг населению</w:t>
            </w:r>
          </w:p>
        </w:tc>
        <w:tc>
          <w:tcPr>
            <w:tcW w:w="1417" w:type="dxa"/>
            <w:shd w:val="clear" w:color="auto" w:fill="auto"/>
            <w:hideMark/>
          </w:tcPr>
          <w:p w:rsidR="00BC0D16" w:rsidRPr="00C3344F" w:rsidRDefault="00BC0D16" w:rsidP="00C3344F">
            <w:pPr>
              <w:jc w:val="center"/>
              <w:rPr>
                <w:sz w:val="24"/>
                <w:szCs w:val="24"/>
              </w:rPr>
            </w:pPr>
            <w:r w:rsidRPr="00C3344F">
              <w:rPr>
                <w:sz w:val="24"/>
                <w:szCs w:val="24"/>
              </w:rPr>
              <w:t>млн. рублей</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1177,56</w:t>
            </w:r>
          </w:p>
        </w:tc>
        <w:tc>
          <w:tcPr>
            <w:tcW w:w="992" w:type="dxa"/>
            <w:shd w:val="clear" w:color="auto" w:fill="auto"/>
            <w:noWrap/>
            <w:vAlign w:val="center"/>
            <w:hideMark/>
          </w:tcPr>
          <w:p w:rsidR="00BC0D16" w:rsidRPr="00C3344F" w:rsidRDefault="00BC0D16" w:rsidP="00C3344F">
            <w:pPr>
              <w:jc w:val="center"/>
              <w:rPr>
                <w:sz w:val="24"/>
                <w:szCs w:val="24"/>
              </w:rPr>
            </w:pPr>
            <w:r w:rsidRPr="00C3344F">
              <w:rPr>
                <w:sz w:val="24"/>
                <w:szCs w:val="24"/>
              </w:rPr>
              <w:t>1236,21</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1302,96</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1315,34</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1318,60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1327,84</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1344,44</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1340,45</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1370,93</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1353,19</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1397,94</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1368,88</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1425,48</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1418,99</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1496,32</w:t>
            </w:r>
          </w:p>
        </w:tc>
      </w:tr>
      <w:tr w:rsidR="00BC0D16" w:rsidRPr="00C3344F" w:rsidTr="00C3344F">
        <w:trPr>
          <w:trHeight w:val="415"/>
          <w:jc w:val="right"/>
        </w:trPr>
        <w:tc>
          <w:tcPr>
            <w:tcW w:w="1564" w:type="dxa"/>
            <w:shd w:val="clear" w:color="auto" w:fill="auto"/>
            <w:hideMark/>
          </w:tcPr>
          <w:p w:rsidR="00BC0D16" w:rsidRPr="00C3344F" w:rsidRDefault="00BC0D16" w:rsidP="00C3344F">
            <w:pPr>
              <w:jc w:val="center"/>
              <w:rPr>
                <w:sz w:val="24"/>
                <w:szCs w:val="24"/>
              </w:rPr>
            </w:pPr>
            <w:r w:rsidRPr="00C3344F">
              <w:rPr>
                <w:sz w:val="24"/>
                <w:szCs w:val="24"/>
              </w:rPr>
              <w:t>Темп роста объема платных услуг населению</w:t>
            </w:r>
          </w:p>
        </w:tc>
        <w:tc>
          <w:tcPr>
            <w:tcW w:w="1417" w:type="dxa"/>
            <w:shd w:val="clear" w:color="auto" w:fill="auto"/>
            <w:hideMark/>
          </w:tcPr>
          <w:p w:rsidR="00BC0D16" w:rsidRPr="00C3344F" w:rsidRDefault="00BC0D16" w:rsidP="00C3344F">
            <w:pPr>
              <w:jc w:val="center"/>
              <w:rPr>
                <w:sz w:val="24"/>
                <w:szCs w:val="24"/>
              </w:rPr>
            </w:pPr>
            <w:r w:rsidRPr="00C3344F">
              <w:rPr>
                <w:sz w:val="24"/>
                <w:szCs w:val="24"/>
              </w:rPr>
              <w:t>% к предыдущему году в сопоставимых ценах</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101,60</w:t>
            </w:r>
          </w:p>
        </w:tc>
        <w:tc>
          <w:tcPr>
            <w:tcW w:w="992" w:type="dxa"/>
            <w:shd w:val="clear" w:color="auto" w:fill="auto"/>
            <w:noWrap/>
            <w:vAlign w:val="center"/>
            <w:hideMark/>
          </w:tcPr>
          <w:p w:rsidR="00BC0D16" w:rsidRPr="00C3344F" w:rsidRDefault="00BC0D16" w:rsidP="00C3344F">
            <w:pPr>
              <w:jc w:val="center"/>
              <w:rPr>
                <w:sz w:val="24"/>
                <w:szCs w:val="24"/>
              </w:rPr>
            </w:pPr>
            <w:r w:rsidRPr="00C3344F">
              <w:rPr>
                <w:sz w:val="24"/>
                <w:szCs w:val="24"/>
              </w:rPr>
              <w:t>101,05</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100,76</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100,24</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100,92</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100,24</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100,93</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100,25</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100,94</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100,39</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100,95</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100,39</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100,96</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100,39</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100,96</w:t>
            </w:r>
          </w:p>
        </w:tc>
      </w:tr>
      <w:tr w:rsidR="00BC0D16" w:rsidRPr="00C3344F" w:rsidTr="00C3344F">
        <w:trPr>
          <w:trHeight w:val="96"/>
          <w:jc w:val="right"/>
        </w:trPr>
        <w:tc>
          <w:tcPr>
            <w:tcW w:w="15881" w:type="dxa"/>
            <w:gridSpan w:val="17"/>
            <w:shd w:val="clear" w:color="auto" w:fill="auto"/>
            <w:hideMark/>
          </w:tcPr>
          <w:p w:rsidR="00BC0D16" w:rsidRPr="00C3344F" w:rsidRDefault="00BC0D16" w:rsidP="00C3344F">
            <w:pPr>
              <w:jc w:val="center"/>
              <w:rPr>
                <w:b/>
                <w:sz w:val="24"/>
                <w:szCs w:val="24"/>
              </w:rPr>
            </w:pPr>
            <w:r w:rsidRPr="00C3344F">
              <w:rPr>
                <w:b/>
                <w:sz w:val="24"/>
                <w:szCs w:val="24"/>
              </w:rPr>
              <w:t>Инвестиции</w:t>
            </w:r>
          </w:p>
        </w:tc>
      </w:tr>
      <w:tr w:rsidR="00BC0D16" w:rsidRPr="00C3344F" w:rsidTr="00C3344F">
        <w:trPr>
          <w:trHeight w:val="270"/>
          <w:jc w:val="right"/>
        </w:trPr>
        <w:tc>
          <w:tcPr>
            <w:tcW w:w="1564" w:type="dxa"/>
            <w:shd w:val="clear" w:color="auto" w:fill="auto"/>
            <w:hideMark/>
          </w:tcPr>
          <w:p w:rsidR="00BC0D16" w:rsidRPr="00C3344F" w:rsidRDefault="00BC0D16" w:rsidP="00C3344F">
            <w:pPr>
              <w:jc w:val="center"/>
              <w:rPr>
                <w:sz w:val="24"/>
                <w:szCs w:val="24"/>
              </w:rPr>
            </w:pPr>
            <w:r w:rsidRPr="00C3344F">
              <w:rPr>
                <w:sz w:val="24"/>
                <w:szCs w:val="24"/>
              </w:rPr>
              <w:t>Инвестиции в основной капитал</w:t>
            </w:r>
          </w:p>
        </w:tc>
        <w:tc>
          <w:tcPr>
            <w:tcW w:w="1417" w:type="dxa"/>
            <w:shd w:val="clear" w:color="auto" w:fill="auto"/>
            <w:hideMark/>
          </w:tcPr>
          <w:p w:rsidR="00BC0D16" w:rsidRPr="00C3344F" w:rsidRDefault="00BC0D16" w:rsidP="00C3344F">
            <w:pPr>
              <w:jc w:val="center"/>
              <w:rPr>
                <w:sz w:val="24"/>
                <w:szCs w:val="24"/>
              </w:rPr>
            </w:pPr>
            <w:r w:rsidRPr="00C3344F">
              <w:rPr>
                <w:sz w:val="24"/>
                <w:szCs w:val="24"/>
              </w:rPr>
              <w:t>млрд. рублей</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134,526</w:t>
            </w:r>
          </w:p>
        </w:tc>
        <w:tc>
          <w:tcPr>
            <w:tcW w:w="992" w:type="dxa"/>
            <w:shd w:val="clear" w:color="auto" w:fill="auto"/>
            <w:noWrap/>
            <w:vAlign w:val="center"/>
            <w:hideMark/>
          </w:tcPr>
          <w:p w:rsidR="00BC0D16" w:rsidRPr="00C3344F" w:rsidRDefault="00BC0D16" w:rsidP="00C3344F">
            <w:pPr>
              <w:jc w:val="center"/>
              <w:rPr>
                <w:sz w:val="24"/>
                <w:szCs w:val="24"/>
              </w:rPr>
            </w:pPr>
            <w:r w:rsidRPr="00C3344F">
              <w:rPr>
                <w:sz w:val="24"/>
                <w:szCs w:val="24"/>
              </w:rPr>
              <w:t>126, 789</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129,173</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132, 265</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135,373</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136, 333</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138 081</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141, 959</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142, 223</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144, 799</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146, 490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147,695</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150, 884</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150, 648</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155, 411</w:t>
            </w:r>
          </w:p>
        </w:tc>
      </w:tr>
      <w:tr w:rsidR="00BC0D16" w:rsidRPr="00C3344F" w:rsidTr="00C3344F">
        <w:trPr>
          <w:trHeight w:val="273"/>
          <w:jc w:val="right"/>
        </w:trPr>
        <w:tc>
          <w:tcPr>
            <w:tcW w:w="1564" w:type="dxa"/>
            <w:shd w:val="clear" w:color="auto" w:fill="auto"/>
            <w:hideMark/>
          </w:tcPr>
          <w:p w:rsidR="00BC0D16" w:rsidRPr="00C3344F" w:rsidRDefault="00BC0D16" w:rsidP="00C3344F">
            <w:pPr>
              <w:jc w:val="center"/>
              <w:rPr>
                <w:sz w:val="24"/>
                <w:szCs w:val="24"/>
              </w:rPr>
            </w:pPr>
            <w:r w:rsidRPr="00C3344F">
              <w:rPr>
                <w:sz w:val="24"/>
                <w:szCs w:val="24"/>
              </w:rPr>
              <w:t>Темп рост</w:t>
            </w:r>
            <w:r w:rsidR="00E515FC" w:rsidRPr="00C3344F">
              <w:rPr>
                <w:sz w:val="24"/>
                <w:szCs w:val="24"/>
              </w:rPr>
              <w:t>а</w:t>
            </w:r>
            <w:r w:rsidRPr="00C3344F">
              <w:rPr>
                <w:sz w:val="24"/>
                <w:szCs w:val="24"/>
              </w:rPr>
              <w:t xml:space="preserve"> </w:t>
            </w:r>
            <w:r w:rsidRPr="00C3344F">
              <w:rPr>
                <w:sz w:val="24"/>
                <w:szCs w:val="24"/>
              </w:rPr>
              <w:lastRenderedPageBreak/>
              <w:t>объема инвестиций в основной капитал</w:t>
            </w:r>
          </w:p>
        </w:tc>
        <w:tc>
          <w:tcPr>
            <w:tcW w:w="1417" w:type="dxa"/>
            <w:shd w:val="clear" w:color="auto" w:fill="auto"/>
            <w:hideMark/>
          </w:tcPr>
          <w:p w:rsidR="00BC0D16" w:rsidRPr="00C3344F" w:rsidRDefault="00BC0D16" w:rsidP="00C3344F">
            <w:pPr>
              <w:jc w:val="center"/>
              <w:rPr>
                <w:sz w:val="24"/>
                <w:szCs w:val="24"/>
              </w:rPr>
            </w:pPr>
            <w:r w:rsidRPr="00C3344F">
              <w:rPr>
                <w:sz w:val="24"/>
                <w:szCs w:val="24"/>
              </w:rPr>
              <w:lastRenderedPageBreak/>
              <w:t xml:space="preserve">% </w:t>
            </w:r>
            <w:proofErr w:type="gramStart"/>
            <w:r w:rsidRPr="00C3344F">
              <w:rPr>
                <w:sz w:val="24"/>
                <w:szCs w:val="24"/>
              </w:rPr>
              <w:t>г</w:t>
            </w:r>
            <w:proofErr w:type="gramEnd"/>
            <w:r w:rsidRPr="00C3344F">
              <w:rPr>
                <w:sz w:val="24"/>
                <w:szCs w:val="24"/>
              </w:rPr>
              <w:t>/г</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126,40</w:t>
            </w:r>
          </w:p>
        </w:tc>
        <w:tc>
          <w:tcPr>
            <w:tcW w:w="992" w:type="dxa"/>
            <w:shd w:val="clear" w:color="auto" w:fill="auto"/>
            <w:noWrap/>
            <w:vAlign w:val="center"/>
            <w:hideMark/>
          </w:tcPr>
          <w:p w:rsidR="00BC0D16" w:rsidRPr="00C3344F" w:rsidRDefault="00BC0D16" w:rsidP="00C3344F">
            <w:pPr>
              <w:jc w:val="center"/>
              <w:rPr>
                <w:sz w:val="24"/>
                <w:szCs w:val="24"/>
              </w:rPr>
            </w:pPr>
            <w:r w:rsidRPr="00C3344F">
              <w:rPr>
                <w:sz w:val="24"/>
                <w:szCs w:val="24"/>
              </w:rPr>
              <w:t>94,25</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101,88</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102,39</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104,80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103,08</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102,00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104,13</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103,00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102,00</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103,00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102,00</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103,00</w:t>
            </w:r>
          </w:p>
        </w:tc>
        <w:tc>
          <w:tcPr>
            <w:tcW w:w="850" w:type="dxa"/>
            <w:shd w:val="clear" w:color="auto" w:fill="auto"/>
            <w:noWrap/>
            <w:vAlign w:val="center"/>
            <w:hideMark/>
          </w:tcPr>
          <w:p w:rsidR="00BC0D16" w:rsidRPr="00C3344F" w:rsidRDefault="00BC0D16" w:rsidP="00C3344F">
            <w:pPr>
              <w:jc w:val="center"/>
              <w:rPr>
                <w:sz w:val="24"/>
                <w:szCs w:val="24"/>
              </w:rPr>
            </w:pPr>
            <w:r w:rsidRPr="00C3344F">
              <w:rPr>
                <w:sz w:val="24"/>
                <w:szCs w:val="24"/>
              </w:rPr>
              <w:t>102,00</w:t>
            </w:r>
          </w:p>
        </w:tc>
        <w:tc>
          <w:tcPr>
            <w:tcW w:w="851" w:type="dxa"/>
            <w:shd w:val="clear" w:color="auto" w:fill="auto"/>
            <w:noWrap/>
            <w:vAlign w:val="center"/>
            <w:hideMark/>
          </w:tcPr>
          <w:p w:rsidR="00BC0D16" w:rsidRPr="00C3344F" w:rsidRDefault="00BC0D16" w:rsidP="00C3344F">
            <w:pPr>
              <w:jc w:val="center"/>
              <w:rPr>
                <w:sz w:val="24"/>
                <w:szCs w:val="24"/>
              </w:rPr>
            </w:pPr>
            <w:r w:rsidRPr="00C3344F">
              <w:rPr>
                <w:sz w:val="24"/>
                <w:szCs w:val="24"/>
              </w:rPr>
              <w:t>103,00</w:t>
            </w:r>
          </w:p>
        </w:tc>
      </w:tr>
      <w:tr w:rsidR="00BC0D16" w:rsidRPr="00C3344F" w:rsidTr="00C3344F">
        <w:trPr>
          <w:trHeight w:val="96"/>
          <w:jc w:val="right"/>
        </w:trPr>
        <w:tc>
          <w:tcPr>
            <w:tcW w:w="15881" w:type="dxa"/>
            <w:gridSpan w:val="17"/>
            <w:shd w:val="clear" w:color="auto" w:fill="auto"/>
            <w:hideMark/>
          </w:tcPr>
          <w:p w:rsidR="00BC0D16" w:rsidRPr="00C3344F" w:rsidRDefault="00BC0D16" w:rsidP="00C3344F">
            <w:pPr>
              <w:jc w:val="center"/>
              <w:rPr>
                <w:b/>
                <w:sz w:val="24"/>
                <w:szCs w:val="24"/>
              </w:rPr>
            </w:pPr>
            <w:r w:rsidRPr="00C3344F">
              <w:rPr>
                <w:b/>
                <w:sz w:val="24"/>
                <w:szCs w:val="24"/>
              </w:rPr>
              <w:lastRenderedPageBreak/>
              <w:t>Денежные доходы населения</w:t>
            </w:r>
          </w:p>
        </w:tc>
      </w:tr>
      <w:tr w:rsidR="00BC0D16" w:rsidRPr="00C3344F" w:rsidTr="00C3344F">
        <w:trPr>
          <w:trHeight w:val="240"/>
          <w:jc w:val="right"/>
        </w:trPr>
        <w:tc>
          <w:tcPr>
            <w:tcW w:w="1564" w:type="dxa"/>
            <w:shd w:val="clear" w:color="auto" w:fill="auto"/>
            <w:hideMark/>
          </w:tcPr>
          <w:p w:rsidR="00BC0D16" w:rsidRPr="00C3344F" w:rsidRDefault="00BC0D16" w:rsidP="00C3344F">
            <w:pPr>
              <w:jc w:val="center"/>
              <w:rPr>
                <w:sz w:val="24"/>
                <w:szCs w:val="24"/>
              </w:rPr>
            </w:pPr>
            <w:r w:rsidRPr="00C3344F">
              <w:rPr>
                <w:sz w:val="24"/>
                <w:szCs w:val="24"/>
              </w:rPr>
              <w:t>Реальные располагаемые денежные доходы населения</w:t>
            </w:r>
          </w:p>
        </w:tc>
        <w:tc>
          <w:tcPr>
            <w:tcW w:w="1417" w:type="dxa"/>
            <w:shd w:val="clear" w:color="auto" w:fill="auto"/>
            <w:hideMark/>
          </w:tcPr>
          <w:p w:rsidR="00BC0D16" w:rsidRPr="00C3344F" w:rsidRDefault="00BC0D16" w:rsidP="00C3344F">
            <w:pPr>
              <w:jc w:val="center"/>
              <w:rPr>
                <w:sz w:val="24"/>
                <w:szCs w:val="24"/>
              </w:rPr>
            </w:pPr>
            <w:r w:rsidRPr="00C3344F">
              <w:rPr>
                <w:sz w:val="24"/>
                <w:szCs w:val="24"/>
              </w:rPr>
              <w:t xml:space="preserve">% </w:t>
            </w:r>
            <w:proofErr w:type="gramStart"/>
            <w:r w:rsidRPr="00C3344F">
              <w:rPr>
                <w:sz w:val="24"/>
                <w:szCs w:val="24"/>
              </w:rPr>
              <w:t>г</w:t>
            </w:r>
            <w:proofErr w:type="gramEnd"/>
            <w:r w:rsidRPr="00C3344F">
              <w:rPr>
                <w:sz w:val="24"/>
                <w:szCs w:val="24"/>
              </w:rPr>
              <w:t>/г</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94,4</w:t>
            </w:r>
          </w:p>
        </w:tc>
        <w:tc>
          <w:tcPr>
            <w:tcW w:w="992" w:type="dxa"/>
            <w:shd w:val="clear" w:color="auto" w:fill="auto"/>
            <w:noWrap/>
            <w:vAlign w:val="bottom"/>
            <w:hideMark/>
          </w:tcPr>
          <w:p w:rsidR="00BC0D16" w:rsidRPr="00C3344F" w:rsidRDefault="00BC0D16" w:rsidP="00C3344F">
            <w:pPr>
              <w:jc w:val="center"/>
              <w:rPr>
                <w:sz w:val="24"/>
                <w:szCs w:val="24"/>
              </w:rPr>
            </w:pPr>
            <w:r w:rsidRPr="00C3344F">
              <w:rPr>
                <w:sz w:val="24"/>
                <w:szCs w:val="24"/>
              </w:rPr>
              <w:t>96,11</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100</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100,09</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101,23</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100,1</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101,26</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100,21</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101,29</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100,22</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101,30</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100,23</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101,32</w:t>
            </w:r>
          </w:p>
        </w:tc>
        <w:tc>
          <w:tcPr>
            <w:tcW w:w="850" w:type="dxa"/>
            <w:shd w:val="clear" w:color="000000" w:fill="FFFFFF"/>
            <w:noWrap/>
            <w:vAlign w:val="bottom"/>
            <w:hideMark/>
          </w:tcPr>
          <w:p w:rsidR="00BC0D16" w:rsidRPr="00C3344F" w:rsidRDefault="00BC0D16" w:rsidP="00C3344F">
            <w:pPr>
              <w:jc w:val="center"/>
              <w:rPr>
                <w:sz w:val="24"/>
                <w:szCs w:val="24"/>
              </w:rPr>
            </w:pPr>
            <w:r w:rsidRPr="00C3344F">
              <w:rPr>
                <w:sz w:val="24"/>
                <w:szCs w:val="24"/>
              </w:rPr>
              <w:t>100,25</w:t>
            </w:r>
          </w:p>
        </w:tc>
        <w:tc>
          <w:tcPr>
            <w:tcW w:w="851" w:type="dxa"/>
            <w:shd w:val="clear" w:color="000000" w:fill="FFFFFF"/>
            <w:noWrap/>
            <w:vAlign w:val="bottom"/>
            <w:hideMark/>
          </w:tcPr>
          <w:p w:rsidR="00BC0D16" w:rsidRPr="00C3344F" w:rsidRDefault="00BC0D16" w:rsidP="00C3344F">
            <w:pPr>
              <w:jc w:val="center"/>
              <w:rPr>
                <w:sz w:val="24"/>
                <w:szCs w:val="24"/>
              </w:rPr>
            </w:pPr>
            <w:r w:rsidRPr="00C3344F">
              <w:rPr>
                <w:sz w:val="24"/>
                <w:szCs w:val="24"/>
              </w:rPr>
              <w:t>101,35</w:t>
            </w:r>
          </w:p>
        </w:tc>
      </w:tr>
      <w:tr w:rsidR="00BC0D16" w:rsidRPr="00C3344F" w:rsidTr="00C3344F">
        <w:trPr>
          <w:trHeight w:val="240"/>
          <w:jc w:val="right"/>
        </w:trPr>
        <w:tc>
          <w:tcPr>
            <w:tcW w:w="1564" w:type="dxa"/>
            <w:shd w:val="clear" w:color="auto" w:fill="auto"/>
            <w:hideMark/>
          </w:tcPr>
          <w:p w:rsidR="00BC0D16" w:rsidRPr="00C3344F" w:rsidRDefault="00BC0D16" w:rsidP="00C3344F">
            <w:pPr>
              <w:jc w:val="center"/>
              <w:rPr>
                <w:sz w:val="24"/>
                <w:szCs w:val="24"/>
              </w:rPr>
            </w:pPr>
            <w:r w:rsidRPr="00C3344F">
              <w:rPr>
                <w:sz w:val="24"/>
                <w:szCs w:val="24"/>
              </w:rPr>
              <w:t>Денежные доходы в расчете на душу населения в месяц</w:t>
            </w:r>
          </w:p>
        </w:tc>
        <w:tc>
          <w:tcPr>
            <w:tcW w:w="1417" w:type="dxa"/>
            <w:shd w:val="clear" w:color="auto" w:fill="auto"/>
            <w:hideMark/>
          </w:tcPr>
          <w:p w:rsidR="00BC0D16" w:rsidRPr="00C3344F" w:rsidRDefault="00BC0D16" w:rsidP="00C3344F">
            <w:pPr>
              <w:jc w:val="center"/>
              <w:rPr>
                <w:sz w:val="24"/>
                <w:szCs w:val="24"/>
              </w:rPr>
            </w:pPr>
            <w:r w:rsidRPr="00C3344F">
              <w:rPr>
                <w:sz w:val="24"/>
                <w:szCs w:val="24"/>
              </w:rPr>
              <w:t>руб.</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37750,0</w:t>
            </w:r>
          </w:p>
        </w:tc>
        <w:tc>
          <w:tcPr>
            <w:tcW w:w="992" w:type="dxa"/>
            <w:shd w:val="clear" w:color="auto" w:fill="auto"/>
            <w:noWrap/>
            <w:vAlign w:val="bottom"/>
            <w:hideMark/>
          </w:tcPr>
          <w:p w:rsidR="00BC0D16" w:rsidRPr="00C3344F" w:rsidRDefault="00BC0D16" w:rsidP="00C3344F">
            <w:pPr>
              <w:jc w:val="center"/>
              <w:rPr>
                <w:sz w:val="24"/>
                <w:szCs w:val="24"/>
              </w:rPr>
            </w:pPr>
            <w:r w:rsidRPr="00C3344F">
              <w:rPr>
                <w:sz w:val="24"/>
                <w:szCs w:val="24"/>
              </w:rPr>
              <w:t>38100,00</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38600,0</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39814,0</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40159,0</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41079,0</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41784,0</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42411,0</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43485,0</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43771,0</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45256,0</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45221,0</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47093,0</w:t>
            </w:r>
          </w:p>
        </w:tc>
        <w:tc>
          <w:tcPr>
            <w:tcW w:w="850" w:type="dxa"/>
            <w:shd w:val="clear" w:color="000000" w:fill="FFFFFF"/>
            <w:noWrap/>
            <w:vAlign w:val="bottom"/>
            <w:hideMark/>
          </w:tcPr>
          <w:p w:rsidR="00BC0D16" w:rsidRPr="00C3344F" w:rsidRDefault="00BC0D16" w:rsidP="00C3344F">
            <w:pPr>
              <w:jc w:val="center"/>
              <w:rPr>
                <w:sz w:val="24"/>
                <w:szCs w:val="24"/>
              </w:rPr>
            </w:pPr>
            <w:r w:rsidRPr="00C3344F">
              <w:rPr>
                <w:sz w:val="24"/>
                <w:szCs w:val="24"/>
              </w:rPr>
              <w:t>46750,0</w:t>
            </w:r>
          </w:p>
        </w:tc>
        <w:tc>
          <w:tcPr>
            <w:tcW w:w="851" w:type="dxa"/>
            <w:shd w:val="clear" w:color="000000" w:fill="FFFFFF"/>
            <w:noWrap/>
            <w:vAlign w:val="bottom"/>
            <w:hideMark/>
          </w:tcPr>
          <w:p w:rsidR="00BC0D16" w:rsidRPr="00C3344F" w:rsidRDefault="00BC0D16" w:rsidP="00C3344F">
            <w:pPr>
              <w:jc w:val="center"/>
              <w:rPr>
                <w:sz w:val="24"/>
                <w:szCs w:val="24"/>
              </w:rPr>
            </w:pPr>
            <w:r w:rsidRPr="00C3344F">
              <w:rPr>
                <w:sz w:val="24"/>
                <w:szCs w:val="24"/>
              </w:rPr>
              <w:t>49006,0</w:t>
            </w:r>
          </w:p>
        </w:tc>
      </w:tr>
      <w:tr w:rsidR="00BC0D16" w:rsidRPr="00C3344F" w:rsidTr="00C3344F">
        <w:trPr>
          <w:trHeight w:val="96"/>
          <w:jc w:val="right"/>
        </w:trPr>
        <w:tc>
          <w:tcPr>
            <w:tcW w:w="15881" w:type="dxa"/>
            <w:gridSpan w:val="17"/>
            <w:shd w:val="clear" w:color="auto" w:fill="auto"/>
            <w:hideMark/>
          </w:tcPr>
          <w:p w:rsidR="00BC0D16" w:rsidRPr="00C3344F" w:rsidRDefault="00BC0D16" w:rsidP="00C3344F">
            <w:pPr>
              <w:jc w:val="center"/>
              <w:rPr>
                <w:b/>
                <w:sz w:val="24"/>
                <w:szCs w:val="24"/>
              </w:rPr>
            </w:pPr>
            <w:r w:rsidRPr="00C3344F">
              <w:rPr>
                <w:b/>
                <w:sz w:val="24"/>
                <w:szCs w:val="24"/>
              </w:rPr>
              <w:t>Труд и занятость</w:t>
            </w:r>
          </w:p>
        </w:tc>
      </w:tr>
      <w:tr w:rsidR="00BC0D16" w:rsidRPr="00C3344F" w:rsidTr="00C3344F">
        <w:trPr>
          <w:trHeight w:val="270"/>
          <w:jc w:val="right"/>
        </w:trPr>
        <w:tc>
          <w:tcPr>
            <w:tcW w:w="1564" w:type="dxa"/>
            <w:shd w:val="clear" w:color="auto" w:fill="auto"/>
            <w:hideMark/>
          </w:tcPr>
          <w:p w:rsidR="00BC0D16" w:rsidRPr="00C3344F" w:rsidRDefault="00BC0D16" w:rsidP="00C3344F">
            <w:pPr>
              <w:jc w:val="center"/>
              <w:rPr>
                <w:sz w:val="24"/>
                <w:szCs w:val="24"/>
              </w:rPr>
            </w:pPr>
            <w:r w:rsidRPr="00C3344F">
              <w:rPr>
                <w:sz w:val="24"/>
                <w:szCs w:val="24"/>
              </w:rPr>
              <w:t xml:space="preserve">Численность </w:t>
            </w:r>
            <w:proofErr w:type="gramStart"/>
            <w:r w:rsidRPr="00C3344F">
              <w:rPr>
                <w:sz w:val="24"/>
                <w:szCs w:val="24"/>
              </w:rPr>
              <w:t>занятых</w:t>
            </w:r>
            <w:proofErr w:type="gramEnd"/>
            <w:r w:rsidRPr="00C3344F">
              <w:rPr>
                <w:sz w:val="24"/>
                <w:szCs w:val="24"/>
              </w:rPr>
              <w:t xml:space="preserve"> в экономике</w:t>
            </w:r>
          </w:p>
        </w:tc>
        <w:tc>
          <w:tcPr>
            <w:tcW w:w="1417" w:type="dxa"/>
            <w:shd w:val="clear" w:color="auto" w:fill="auto"/>
            <w:hideMark/>
          </w:tcPr>
          <w:p w:rsidR="00BC0D16" w:rsidRPr="00C3344F" w:rsidRDefault="00BC0D16" w:rsidP="00C3344F">
            <w:pPr>
              <w:jc w:val="center"/>
              <w:rPr>
                <w:sz w:val="24"/>
                <w:szCs w:val="24"/>
              </w:rPr>
            </w:pPr>
            <w:r w:rsidRPr="00C3344F">
              <w:rPr>
                <w:sz w:val="24"/>
                <w:szCs w:val="24"/>
              </w:rPr>
              <w:t>тыс. чел</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46,758</w:t>
            </w:r>
          </w:p>
        </w:tc>
        <w:tc>
          <w:tcPr>
            <w:tcW w:w="992" w:type="dxa"/>
            <w:shd w:val="clear" w:color="auto" w:fill="auto"/>
            <w:noWrap/>
            <w:vAlign w:val="bottom"/>
            <w:hideMark/>
          </w:tcPr>
          <w:p w:rsidR="00BC0D16" w:rsidRPr="00C3344F" w:rsidRDefault="00BC0D16" w:rsidP="00C3344F">
            <w:pPr>
              <w:jc w:val="center"/>
              <w:rPr>
                <w:sz w:val="24"/>
                <w:szCs w:val="24"/>
              </w:rPr>
            </w:pPr>
            <w:r w:rsidRPr="00C3344F">
              <w:rPr>
                <w:sz w:val="24"/>
                <w:szCs w:val="24"/>
              </w:rPr>
              <w:t>46,214</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46,237</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46,283</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46,300</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46,330</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46,352</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46,376</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46,400</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46,422</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46,452</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46,469</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46,500</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46,510</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46,550</w:t>
            </w:r>
          </w:p>
        </w:tc>
      </w:tr>
      <w:tr w:rsidR="00BC0D16" w:rsidRPr="00C3344F" w:rsidTr="00C3344F">
        <w:trPr>
          <w:trHeight w:val="271"/>
          <w:jc w:val="right"/>
        </w:trPr>
        <w:tc>
          <w:tcPr>
            <w:tcW w:w="1564" w:type="dxa"/>
            <w:shd w:val="clear" w:color="auto" w:fill="auto"/>
            <w:hideMark/>
          </w:tcPr>
          <w:p w:rsidR="00BC0D16" w:rsidRPr="00C3344F" w:rsidRDefault="00BC0D16" w:rsidP="00C3344F">
            <w:pPr>
              <w:jc w:val="center"/>
              <w:rPr>
                <w:sz w:val="24"/>
                <w:szCs w:val="24"/>
              </w:rPr>
            </w:pPr>
            <w:r w:rsidRPr="00C3344F">
              <w:rPr>
                <w:sz w:val="24"/>
                <w:szCs w:val="24"/>
              </w:rPr>
              <w:t>Реальная заработная плата  работников организаций</w:t>
            </w:r>
          </w:p>
        </w:tc>
        <w:tc>
          <w:tcPr>
            <w:tcW w:w="1417" w:type="dxa"/>
            <w:shd w:val="clear" w:color="auto" w:fill="auto"/>
            <w:hideMark/>
          </w:tcPr>
          <w:p w:rsidR="00BC0D16" w:rsidRPr="00C3344F" w:rsidRDefault="00BC0D16" w:rsidP="00C3344F">
            <w:pPr>
              <w:jc w:val="center"/>
              <w:rPr>
                <w:sz w:val="24"/>
                <w:szCs w:val="24"/>
              </w:rPr>
            </w:pPr>
            <w:r w:rsidRPr="00C3344F">
              <w:rPr>
                <w:sz w:val="24"/>
                <w:szCs w:val="24"/>
              </w:rPr>
              <w:t xml:space="preserve">% </w:t>
            </w:r>
            <w:proofErr w:type="gramStart"/>
            <w:r w:rsidRPr="00C3344F">
              <w:rPr>
                <w:sz w:val="24"/>
                <w:szCs w:val="24"/>
              </w:rPr>
              <w:t>г</w:t>
            </w:r>
            <w:proofErr w:type="gramEnd"/>
            <w:r w:rsidRPr="00C3344F">
              <w:rPr>
                <w:sz w:val="24"/>
                <w:szCs w:val="24"/>
              </w:rPr>
              <w:t>/г</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98,55</w:t>
            </w:r>
          </w:p>
        </w:tc>
        <w:tc>
          <w:tcPr>
            <w:tcW w:w="992" w:type="dxa"/>
            <w:shd w:val="clear" w:color="auto" w:fill="auto"/>
            <w:noWrap/>
            <w:vAlign w:val="bottom"/>
            <w:hideMark/>
          </w:tcPr>
          <w:p w:rsidR="00BC0D16" w:rsidRPr="00C3344F" w:rsidRDefault="00BC0D16" w:rsidP="00C3344F">
            <w:pPr>
              <w:jc w:val="center"/>
              <w:rPr>
                <w:sz w:val="24"/>
                <w:szCs w:val="24"/>
              </w:rPr>
            </w:pPr>
            <w:r w:rsidRPr="00C3344F">
              <w:rPr>
                <w:sz w:val="24"/>
                <w:szCs w:val="24"/>
              </w:rPr>
              <w:t>102,88</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100,1</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100,29</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101,55</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100,39</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101,06</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100,49</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101,08</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100,51</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101,09</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100,52</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101,10</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100,6</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101,15</w:t>
            </w:r>
          </w:p>
        </w:tc>
      </w:tr>
      <w:tr w:rsidR="00BC0D16" w:rsidRPr="00C3344F" w:rsidTr="00C3344F">
        <w:trPr>
          <w:trHeight w:val="271"/>
          <w:jc w:val="right"/>
        </w:trPr>
        <w:tc>
          <w:tcPr>
            <w:tcW w:w="1564" w:type="dxa"/>
            <w:shd w:val="clear" w:color="auto" w:fill="auto"/>
            <w:hideMark/>
          </w:tcPr>
          <w:p w:rsidR="00BC0D16" w:rsidRPr="00C3344F" w:rsidRDefault="00BC0D16" w:rsidP="00C3344F">
            <w:pPr>
              <w:jc w:val="center"/>
              <w:rPr>
                <w:sz w:val="24"/>
                <w:szCs w:val="24"/>
              </w:rPr>
            </w:pPr>
            <w:r w:rsidRPr="00C3344F">
              <w:rPr>
                <w:sz w:val="24"/>
                <w:szCs w:val="24"/>
              </w:rPr>
              <w:t xml:space="preserve">Начисленная среднемесячная заработная плата одного </w:t>
            </w:r>
            <w:r w:rsidRPr="00C3344F">
              <w:rPr>
                <w:sz w:val="24"/>
                <w:szCs w:val="24"/>
              </w:rPr>
              <w:lastRenderedPageBreak/>
              <w:t>работника</w:t>
            </w:r>
          </w:p>
        </w:tc>
        <w:tc>
          <w:tcPr>
            <w:tcW w:w="1417" w:type="dxa"/>
            <w:shd w:val="clear" w:color="auto" w:fill="auto"/>
            <w:hideMark/>
          </w:tcPr>
          <w:p w:rsidR="00BC0D16" w:rsidRPr="00C3344F" w:rsidRDefault="00BC0D16" w:rsidP="00C3344F">
            <w:pPr>
              <w:jc w:val="center"/>
              <w:rPr>
                <w:sz w:val="24"/>
                <w:szCs w:val="24"/>
              </w:rPr>
            </w:pPr>
            <w:r w:rsidRPr="00C3344F">
              <w:rPr>
                <w:sz w:val="24"/>
                <w:szCs w:val="24"/>
              </w:rPr>
              <w:lastRenderedPageBreak/>
              <w:t>рублей</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56350,0</w:t>
            </w:r>
          </w:p>
        </w:tc>
        <w:tc>
          <w:tcPr>
            <w:tcW w:w="992" w:type="dxa"/>
            <w:shd w:val="clear" w:color="auto" w:fill="auto"/>
            <w:noWrap/>
            <w:vAlign w:val="bottom"/>
            <w:hideMark/>
          </w:tcPr>
          <w:p w:rsidR="00BC0D16" w:rsidRPr="00C3344F" w:rsidRDefault="00BC0D16" w:rsidP="00C3344F">
            <w:pPr>
              <w:jc w:val="center"/>
              <w:rPr>
                <w:sz w:val="24"/>
                <w:szCs w:val="24"/>
              </w:rPr>
            </w:pPr>
            <w:r w:rsidRPr="00C3344F">
              <w:rPr>
                <w:sz w:val="24"/>
                <w:szCs w:val="24"/>
              </w:rPr>
              <w:t>58545,0</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61297,0</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63748,6</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64500,0</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66614,0</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67790,0</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69611,0</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71246,0</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72745,0</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74879,0</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76018,0</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78696,0</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79439,0</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82709,0</w:t>
            </w:r>
          </w:p>
        </w:tc>
      </w:tr>
      <w:tr w:rsidR="00BC0D16" w:rsidRPr="00C3344F" w:rsidTr="00C3344F">
        <w:trPr>
          <w:trHeight w:val="309"/>
          <w:jc w:val="right"/>
        </w:trPr>
        <w:tc>
          <w:tcPr>
            <w:tcW w:w="1564" w:type="dxa"/>
            <w:shd w:val="clear" w:color="000000" w:fill="FFFFFF"/>
            <w:hideMark/>
          </w:tcPr>
          <w:p w:rsidR="00BC0D16" w:rsidRPr="00C3344F" w:rsidRDefault="00BC0D16" w:rsidP="00C3344F">
            <w:pPr>
              <w:jc w:val="center"/>
              <w:rPr>
                <w:sz w:val="24"/>
                <w:szCs w:val="24"/>
              </w:rPr>
            </w:pPr>
            <w:r w:rsidRPr="00C3344F">
              <w:rPr>
                <w:sz w:val="24"/>
                <w:szCs w:val="24"/>
              </w:rPr>
              <w:lastRenderedPageBreak/>
              <w:t>Уровень зарегистрированной безработицы (на конец года)</w:t>
            </w:r>
          </w:p>
        </w:tc>
        <w:tc>
          <w:tcPr>
            <w:tcW w:w="1417" w:type="dxa"/>
            <w:shd w:val="clear" w:color="auto" w:fill="auto"/>
            <w:hideMark/>
          </w:tcPr>
          <w:p w:rsidR="00BC0D16" w:rsidRPr="00C3344F" w:rsidRDefault="00BC0D16" w:rsidP="00C3344F">
            <w:pPr>
              <w:jc w:val="center"/>
              <w:rPr>
                <w:sz w:val="24"/>
                <w:szCs w:val="24"/>
              </w:rPr>
            </w:pPr>
            <w:r w:rsidRPr="00C3344F">
              <w:rPr>
                <w:sz w:val="24"/>
                <w:szCs w:val="24"/>
              </w:rPr>
              <w:t>%</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0,14</w:t>
            </w:r>
          </w:p>
        </w:tc>
        <w:tc>
          <w:tcPr>
            <w:tcW w:w="992" w:type="dxa"/>
            <w:shd w:val="clear" w:color="auto" w:fill="auto"/>
            <w:noWrap/>
            <w:vAlign w:val="bottom"/>
            <w:hideMark/>
          </w:tcPr>
          <w:p w:rsidR="00BC0D16" w:rsidRPr="00C3344F" w:rsidRDefault="00BC0D16" w:rsidP="00C3344F">
            <w:pPr>
              <w:jc w:val="center"/>
              <w:rPr>
                <w:sz w:val="24"/>
                <w:szCs w:val="24"/>
              </w:rPr>
            </w:pPr>
            <w:r w:rsidRPr="00C3344F">
              <w:rPr>
                <w:sz w:val="24"/>
                <w:szCs w:val="24"/>
              </w:rPr>
              <w:t>0,12</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0,14</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0,14</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0,13</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0,14</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0,13</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0,14</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0,13</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0,14</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0,13</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0,14</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0,13</w:t>
            </w:r>
          </w:p>
        </w:tc>
        <w:tc>
          <w:tcPr>
            <w:tcW w:w="850" w:type="dxa"/>
            <w:shd w:val="clear" w:color="auto" w:fill="auto"/>
            <w:noWrap/>
            <w:vAlign w:val="bottom"/>
            <w:hideMark/>
          </w:tcPr>
          <w:p w:rsidR="00BC0D16" w:rsidRPr="00C3344F" w:rsidRDefault="00BC0D16" w:rsidP="00C3344F">
            <w:pPr>
              <w:jc w:val="center"/>
              <w:rPr>
                <w:sz w:val="24"/>
                <w:szCs w:val="24"/>
              </w:rPr>
            </w:pPr>
            <w:r w:rsidRPr="00C3344F">
              <w:rPr>
                <w:sz w:val="24"/>
                <w:szCs w:val="24"/>
              </w:rPr>
              <w:t>0,14</w:t>
            </w:r>
          </w:p>
        </w:tc>
        <w:tc>
          <w:tcPr>
            <w:tcW w:w="851" w:type="dxa"/>
            <w:shd w:val="clear" w:color="auto" w:fill="auto"/>
            <w:noWrap/>
            <w:vAlign w:val="bottom"/>
            <w:hideMark/>
          </w:tcPr>
          <w:p w:rsidR="00BC0D16" w:rsidRPr="00C3344F" w:rsidRDefault="00BC0D16" w:rsidP="00C3344F">
            <w:pPr>
              <w:jc w:val="center"/>
              <w:rPr>
                <w:sz w:val="24"/>
                <w:szCs w:val="24"/>
              </w:rPr>
            </w:pPr>
            <w:r w:rsidRPr="00C3344F">
              <w:rPr>
                <w:sz w:val="24"/>
                <w:szCs w:val="24"/>
              </w:rPr>
              <w:t>0,13</w:t>
            </w:r>
          </w:p>
        </w:tc>
      </w:tr>
    </w:tbl>
    <w:p w:rsidR="0010228C" w:rsidRDefault="0010228C" w:rsidP="00E515FC">
      <w:pPr>
        <w:rPr>
          <w:bCs/>
        </w:rPr>
      </w:pPr>
    </w:p>
    <w:sectPr w:rsidR="0010228C" w:rsidSect="009B34DB">
      <w:headerReference w:type="default" r:id="rId13"/>
      <w:pgSz w:w="16838" w:h="11906" w:orient="landscape"/>
      <w:pgMar w:top="1134" w:right="567" w:bottom="1134" w:left="1701" w:header="709" w:footer="709" w:gutter="0"/>
      <w:pgNumType w:chapStyle="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056" w:rsidRDefault="00E24056">
      <w:r>
        <w:separator/>
      </w:r>
    </w:p>
  </w:endnote>
  <w:endnote w:type="continuationSeparator" w:id="0">
    <w:p w:rsidR="00E24056" w:rsidRDefault="00E2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056" w:rsidRDefault="00E24056">
      <w:r>
        <w:separator/>
      </w:r>
    </w:p>
  </w:footnote>
  <w:footnote w:type="continuationSeparator" w:id="0">
    <w:p w:rsidR="00E24056" w:rsidRDefault="00E24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0B" w:rsidRPr="00BC0D16" w:rsidRDefault="00BD670B" w:rsidP="00BC0D16">
    <w:r w:rsidRPr="00BC0D16">
      <w:fldChar w:fldCharType="begin"/>
    </w:r>
    <w:r w:rsidRPr="00BC0D16">
      <w:instrText xml:space="preserve">PAGE  </w:instrText>
    </w:r>
    <w:r w:rsidRPr="00BC0D16">
      <w:fldChar w:fldCharType="separate"/>
    </w:r>
    <w:r w:rsidRPr="00BC0D16">
      <w:t>15</w:t>
    </w:r>
    <w:r w:rsidRPr="00BC0D16">
      <w:fldChar w:fldCharType="end"/>
    </w:r>
  </w:p>
  <w:p w:rsidR="00BD670B" w:rsidRPr="00BC0D16" w:rsidRDefault="00BD670B" w:rsidP="00BC0D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70B" w:rsidRPr="00BC0D16" w:rsidRDefault="00BD670B" w:rsidP="0064052A">
    <w:pPr>
      <w:jc w:val="center"/>
    </w:pPr>
    <w:r w:rsidRPr="00BC0D16">
      <w:fldChar w:fldCharType="begin"/>
    </w:r>
    <w:r w:rsidRPr="00BC0D16">
      <w:instrText xml:space="preserve">PAGE  </w:instrText>
    </w:r>
    <w:r w:rsidRPr="00BC0D16">
      <w:fldChar w:fldCharType="separate"/>
    </w:r>
    <w:r w:rsidR="003D4AC3">
      <w:rPr>
        <w:noProof/>
      </w:rPr>
      <w:t>1</w:t>
    </w:r>
    <w:r w:rsidRPr="00BC0D16">
      <w:fldChar w:fldCharType="end"/>
    </w:r>
  </w:p>
  <w:p w:rsidR="00BD670B" w:rsidRPr="00BC0D16" w:rsidRDefault="00BD670B" w:rsidP="00BC0D1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319702"/>
      <w:docPartObj>
        <w:docPartGallery w:val="Page Numbers (Top of Page)"/>
        <w:docPartUnique/>
      </w:docPartObj>
    </w:sdtPr>
    <w:sdtEndPr/>
    <w:sdtContent>
      <w:p w:rsidR="00BD670B" w:rsidRDefault="00BD670B">
        <w:pPr>
          <w:pStyle w:val="a4"/>
          <w:jc w:val="center"/>
        </w:pPr>
        <w:r>
          <w:fldChar w:fldCharType="begin"/>
        </w:r>
        <w:r>
          <w:instrText>PAGE   \* MERGEFORMAT</w:instrText>
        </w:r>
        <w:r>
          <w:fldChar w:fldCharType="separate"/>
        </w:r>
        <w:r w:rsidR="003D4AC3">
          <w:rPr>
            <w:noProof/>
          </w:rPr>
          <w:t>2</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087916"/>
      <w:docPartObj>
        <w:docPartGallery w:val="Page Numbers (Top of Page)"/>
        <w:docPartUnique/>
      </w:docPartObj>
    </w:sdtPr>
    <w:sdtEndPr/>
    <w:sdtContent>
      <w:p w:rsidR="00BD670B" w:rsidRDefault="00BD670B">
        <w:pPr>
          <w:pStyle w:val="a4"/>
          <w:jc w:val="center"/>
        </w:pPr>
        <w:r>
          <w:fldChar w:fldCharType="begin"/>
        </w:r>
        <w:r>
          <w:instrText>PAGE   \* MERGEFORMAT</w:instrText>
        </w:r>
        <w:r>
          <w:fldChar w:fldCharType="separate"/>
        </w:r>
        <w:r w:rsidR="003D4AC3">
          <w:rPr>
            <w:noProof/>
          </w:rPr>
          <w:t>19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2D83D26"/>
    <w:multiLevelType w:val="hybridMultilevel"/>
    <w:tmpl w:val="EC1EFBFA"/>
    <w:lvl w:ilvl="0" w:tplc="71EE314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88A0B6A"/>
    <w:multiLevelType w:val="hybridMultilevel"/>
    <w:tmpl w:val="72F6E9F8"/>
    <w:lvl w:ilvl="0" w:tplc="F64204B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4D03E4"/>
    <w:multiLevelType w:val="multilevel"/>
    <w:tmpl w:val="8D8A6EFA"/>
    <w:lvl w:ilvl="0">
      <w:start w:val="1"/>
      <w:numFmt w:val="decimal"/>
      <w:lvlText w:val="%1."/>
      <w:lvlJc w:val="left"/>
      <w:pPr>
        <w:ind w:left="1174" w:hanging="465"/>
      </w:pPr>
    </w:lvl>
    <w:lvl w:ilvl="1">
      <w:start w:val="1"/>
      <w:numFmt w:val="decimal"/>
      <w:isLgl/>
      <w:lvlText w:val="%1.%2."/>
      <w:lvlJc w:val="left"/>
      <w:pPr>
        <w:ind w:left="1429" w:hanging="720"/>
      </w:pPr>
    </w:lvl>
    <w:lvl w:ilvl="2">
      <w:start w:val="1"/>
      <w:numFmt w:val="decimal"/>
      <w:isLgl/>
      <w:lvlText w:val="%1.%2.%3."/>
      <w:lvlJc w:val="left"/>
      <w:pPr>
        <w:ind w:left="1004"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08A2F73"/>
    <w:multiLevelType w:val="hybridMultilevel"/>
    <w:tmpl w:val="F98045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7F50EC"/>
    <w:multiLevelType w:val="multilevel"/>
    <w:tmpl w:val="3D626B9C"/>
    <w:lvl w:ilvl="0">
      <w:start w:val="3"/>
      <w:numFmt w:val="decimal"/>
      <w:lvlText w:val="%1."/>
      <w:lvlJc w:val="left"/>
      <w:pPr>
        <w:ind w:left="928" w:hanging="360"/>
      </w:pPr>
      <w:rPr>
        <w:rFonts w:hint="default"/>
      </w:rPr>
    </w:lvl>
    <w:lvl w:ilvl="1">
      <w:start w:val="1"/>
      <w:numFmt w:val="decimal"/>
      <w:isLgl/>
      <w:lvlText w:val="%1.%2."/>
      <w:lvlJc w:val="left"/>
      <w:pPr>
        <w:ind w:left="1713" w:hanging="720"/>
      </w:pPr>
      <w:rPr>
        <w:rFonts w:ascii="Times New Roman" w:hAnsi="Times New Roman" w:cs="Times New Roman" w:hint="default"/>
        <w:b w:val="0"/>
        <w:i w:val="0"/>
        <w:sz w:val="28"/>
        <w:szCs w:val="28"/>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7">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9">
    <w:nsid w:val="754D52CA"/>
    <w:multiLevelType w:val="multilevel"/>
    <w:tmpl w:val="AF6C3EE4"/>
    <w:lvl w:ilvl="0">
      <w:start w:val="1"/>
      <w:numFmt w:val="decimal"/>
      <w:lvlText w:val="%1."/>
      <w:lvlJc w:val="left"/>
      <w:pPr>
        <w:ind w:left="660" w:hanging="66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755051C7"/>
    <w:multiLevelType w:val="hybridMultilevel"/>
    <w:tmpl w:val="901C13FA"/>
    <w:lvl w:ilvl="0" w:tplc="67BE5EEA">
      <w:start w:val="3"/>
      <w:numFmt w:val="decimal"/>
      <w:lvlText w:val="%1."/>
      <w:lvlJc w:val="left"/>
      <w:pPr>
        <w:ind w:left="1779"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6D11C1"/>
    <w:multiLevelType w:val="hybridMultilevel"/>
    <w:tmpl w:val="6BB2E462"/>
    <w:lvl w:ilvl="0" w:tplc="6B18195E">
      <w:start w:val="1"/>
      <w:numFmt w:val="decimal"/>
      <w:lvlText w:val="%1."/>
      <w:lvlJc w:val="left"/>
      <w:pPr>
        <w:ind w:left="1848" w:hanging="114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3"/>
  </w:num>
  <w:num w:numId="2">
    <w:abstractNumId w:val="9"/>
  </w:num>
  <w:num w:numId="3">
    <w:abstractNumId w:val="6"/>
  </w:num>
  <w:num w:numId="4">
    <w:abstractNumId w:val="23"/>
  </w:num>
  <w:num w:numId="5">
    <w:abstractNumId w:val="27"/>
  </w:num>
  <w:num w:numId="6">
    <w:abstractNumId w:val="7"/>
  </w:num>
  <w:num w:numId="7">
    <w:abstractNumId w:val="15"/>
  </w:num>
  <w:num w:numId="8">
    <w:abstractNumId w:val="5"/>
  </w:num>
  <w:num w:numId="9">
    <w:abstractNumId w:val="11"/>
  </w:num>
  <w:num w:numId="10">
    <w:abstractNumId w:val="17"/>
  </w:num>
  <w:num w:numId="11">
    <w:abstractNumId w:val="16"/>
  </w:num>
  <w:num w:numId="12">
    <w:abstractNumId w:val="24"/>
  </w:num>
  <w:num w:numId="13">
    <w:abstractNumId w:val="21"/>
  </w:num>
  <w:num w:numId="14">
    <w:abstractNumId w:val="19"/>
  </w:num>
  <w:num w:numId="15">
    <w:abstractNumId w:val="0"/>
  </w:num>
  <w:num w:numId="16">
    <w:abstractNumId w:val="12"/>
  </w:num>
  <w:num w:numId="17">
    <w:abstractNumId w:val="18"/>
  </w:num>
  <w:num w:numId="18">
    <w:abstractNumId w:val="25"/>
  </w:num>
  <w:num w:numId="19">
    <w:abstractNumId w:val="31"/>
  </w:num>
  <w:num w:numId="20">
    <w:abstractNumId w:val="10"/>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1794"/>
    <w:rsid w:val="00032804"/>
    <w:rsid w:val="00033DC0"/>
    <w:rsid w:val="00034557"/>
    <w:rsid w:val="00036F86"/>
    <w:rsid w:val="00041F76"/>
    <w:rsid w:val="0004313B"/>
    <w:rsid w:val="0004318A"/>
    <w:rsid w:val="000433F1"/>
    <w:rsid w:val="000447A2"/>
    <w:rsid w:val="00045C90"/>
    <w:rsid w:val="000465B8"/>
    <w:rsid w:val="00046AF7"/>
    <w:rsid w:val="00053F14"/>
    <w:rsid w:val="00057117"/>
    <w:rsid w:val="00060F5D"/>
    <w:rsid w:val="00062485"/>
    <w:rsid w:val="0006267E"/>
    <w:rsid w:val="0006352D"/>
    <w:rsid w:val="00063A55"/>
    <w:rsid w:val="000640E4"/>
    <w:rsid w:val="00064398"/>
    <w:rsid w:val="000668DE"/>
    <w:rsid w:val="00067C48"/>
    <w:rsid w:val="00071478"/>
    <w:rsid w:val="000734B5"/>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15C3"/>
    <w:rsid w:val="000B38FF"/>
    <w:rsid w:val="000B5B39"/>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0F387D"/>
    <w:rsid w:val="001002E1"/>
    <w:rsid w:val="00101429"/>
    <w:rsid w:val="00101E06"/>
    <w:rsid w:val="0010228C"/>
    <w:rsid w:val="0010246A"/>
    <w:rsid w:val="00102DDA"/>
    <w:rsid w:val="00103954"/>
    <w:rsid w:val="001043B6"/>
    <w:rsid w:val="0010707C"/>
    <w:rsid w:val="001073F0"/>
    <w:rsid w:val="0011220D"/>
    <w:rsid w:val="00115EF9"/>
    <w:rsid w:val="00117910"/>
    <w:rsid w:val="00117E19"/>
    <w:rsid w:val="00120100"/>
    <w:rsid w:val="0012323A"/>
    <w:rsid w:val="00126733"/>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6A53"/>
    <w:rsid w:val="001671DB"/>
    <w:rsid w:val="00167A9E"/>
    <w:rsid w:val="00170E73"/>
    <w:rsid w:val="001710DD"/>
    <w:rsid w:val="00171C01"/>
    <w:rsid w:val="00173548"/>
    <w:rsid w:val="001741CD"/>
    <w:rsid w:val="00180EA1"/>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5206"/>
    <w:rsid w:val="001C57F0"/>
    <w:rsid w:val="001C769E"/>
    <w:rsid w:val="001C7A23"/>
    <w:rsid w:val="001D20A5"/>
    <w:rsid w:val="001D2112"/>
    <w:rsid w:val="001D3338"/>
    <w:rsid w:val="001E0D6A"/>
    <w:rsid w:val="001E1EED"/>
    <w:rsid w:val="001E2343"/>
    <w:rsid w:val="001E56C1"/>
    <w:rsid w:val="001E6683"/>
    <w:rsid w:val="001E6F73"/>
    <w:rsid w:val="001E7A04"/>
    <w:rsid w:val="001E7A57"/>
    <w:rsid w:val="001F501B"/>
    <w:rsid w:val="001F55FB"/>
    <w:rsid w:val="001F57F1"/>
    <w:rsid w:val="002006CC"/>
    <w:rsid w:val="00201DD7"/>
    <w:rsid w:val="00202C09"/>
    <w:rsid w:val="002049E2"/>
    <w:rsid w:val="0020543B"/>
    <w:rsid w:val="00206E05"/>
    <w:rsid w:val="00207B8F"/>
    <w:rsid w:val="00207E58"/>
    <w:rsid w:val="00210CAE"/>
    <w:rsid w:val="0021455F"/>
    <w:rsid w:val="00215140"/>
    <w:rsid w:val="0022221D"/>
    <w:rsid w:val="00222FBA"/>
    <w:rsid w:val="00224837"/>
    <w:rsid w:val="00227D5E"/>
    <w:rsid w:val="00232123"/>
    <w:rsid w:val="00232C36"/>
    <w:rsid w:val="00233229"/>
    <w:rsid w:val="00233C54"/>
    <w:rsid w:val="002349B6"/>
    <w:rsid w:val="00234E47"/>
    <w:rsid w:val="00237D49"/>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805A2"/>
    <w:rsid w:val="00282355"/>
    <w:rsid w:val="002827F4"/>
    <w:rsid w:val="002834EC"/>
    <w:rsid w:val="00292AB0"/>
    <w:rsid w:val="00292C35"/>
    <w:rsid w:val="002954C9"/>
    <w:rsid w:val="002A2381"/>
    <w:rsid w:val="002A264B"/>
    <w:rsid w:val="002A3A41"/>
    <w:rsid w:val="002A51A2"/>
    <w:rsid w:val="002A6D69"/>
    <w:rsid w:val="002A7193"/>
    <w:rsid w:val="002B07F7"/>
    <w:rsid w:val="002B3AA0"/>
    <w:rsid w:val="002B59BF"/>
    <w:rsid w:val="002C0818"/>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3A2B"/>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85B"/>
    <w:rsid w:val="00326DF1"/>
    <w:rsid w:val="00327666"/>
    <w:rsid w:val="003302AD"/>
    <w:rsid w:val="003321C0"/>
    <w:rsid w:val="003344B7"/>
    <w:rsid w:val="00341906"/>
    <w:rsid w:val="00341A0B"/>
    <w:rsid w:val="003434A1"/>
    <w:rsid w:val="003442EE"/>
    <w:rsid w:val="00344CB0"/>
    <w:rsid w:val="00345330"/>
    <w:rsid w:val="00345A18"/>
    <w:rsid w:val="00346443"/>
    <w:rsid w:val="00347713"/>
    <w:rsid w:val="00347F90"/>
    <w:rsid w:val="0035080F"/>
    <w:rsid w:val="00350879"/>
    <w:rsid w:val="003510D9"/>
    <w:rsid w:val="00351E98"/>
    <w:rsid w:val="00352C02"/>
    <w:rsid w:val="0035333F"/>
    <w:rsid w:val="00354106"/>
    <w:rsid w:val="0035657A"/>
    <w:rsid w:val="003570AB"/>
    <w:rsid w:val="00360652"/>
    <w:rsid w:val="00360CF1"/>
    <w:rsid w:val="00361B8A"/>
    <w:rsid w:val="003627BF"/>
    <w:rsid w:val="003634AC"/>
    <w:rsid w:val="00364A98"/>
    <w:rsid w:val="00367213"/>
    <w:rsid w:val="00370546"/>
    <w:rsid w:val="00371EE1"/>
    <w:rsid w:val="00372BB9"/>
    <w:rsid w:val="00373322"/>
    <w:rsid w:val="00375F8F"/>
    <w:rsid w:val="0038106A"/>
    <w:rsid w:val="00381B0B"/>
    <w:rsid w:val="00381CED"/>
    <w:rsid w:val="00387AD5"/>
    <w:rsid w:val="00391DD1"/>
    <w:rsid w:val="00392386"/>
    <w:rsid w:val="00393566"/>
    <w:rsid w:val="0039439F"/>
    <w:rsid w:val="003952F9"/>
    <w:rsid w:val="00395552"/>
    <w:rsid w:val="00396906"/>
    <w:rsid w:val="00397B91"/>
    <w:rsid w:val="003A2430"/>
    <w:rsid w:val="003A439C"/>
    <w:rsid w:val="003A56DF"/>
    <w:rsid w:val="003A62B9"/>
    <w:rsid w:val="003A7090"/>
    <w:rsid w:val="003A70EF"/>
    <w:rsid w:val="003A7C86"/>
    <w:rsid w:val="003B1C8D"/>
    <w:rsid w:val="003B2978"/>
    <w:rsid w:val="003B33F8"/>
    <w:rsid w:val="003B398F"/>
    <w:rsid w:val="003B45E1"/>
    <w:rsid w:val="003B6815"/>
    <w:rsid w:val="003B68BC"/>
    <w:rsid w:val="003B6AB2"/>
    <w:rsid w:val="003B732A"/>
    <w:rsid w:val="003C07C8"/>
    <w:rsid w:val="003C0C29"/>
    <w:rsid w:val="003C0EEF"/>
    <w:rsid w:val="003C618E"/>
    <w:rsid w:val="003D31CA"/>
    <w:rsid w:val="003D4AC3"/>
    <w:rsid w:val="003D58AF"/>
    <w:rsid w:val="003E2FE4"/>
    <w:rsid w:val="003E66D7"/>
    <w:rsid w:val="003E78E1"/>
    <w:rsid w:val="003F1567"/>
    <w:rsid w:val="003F25E9"/>
    <w:rsid w:val="003F271D"/>
    <w:rsid w:val="003F4D30"/>
    <w:rsid w:val="003F6E1F"/>
    <w:rsid w:val="003F7552"/>
    <w:rsid w:val="00400423"/>
    <w:rsid w:val="00402FAB"/>
    <w:rsid w:val="00405019"/>
    <w:rsid w:val="00405257"/>
    <w:rsid w:val="00407DB1"/>
    <w:rsid w:val="00411587"/>
    <w:rsid w:val="004131F8"/>
    <w:rsid w:val="0041649D"/>
    <w:rsid w:val="00417351"/>
    <w:rsid w:val="00420527"/>
    <w:rsid w:val="0042155D"/>
    <w:rsid w:val="004228E7"/>
    <w:rsid w:val="0042656E"/>
    <w:rsid w:val="00427AE7"/>
    <w:rsid w:val="004331AA"/>
    <w:rsid w:val="004341C4"/>
    <w:rsid w:val="00434373"/>
    <w:rsid w:val="00436773"/>
    <w:rsid w:val="00436F7F"/>
    <w:rsid w:val="0044068E"/>
    <w:rsid w:val="00444A6E"/>
    <w:rsid w:val="00445046"/>
    <w:rsid w:val="00453459"/>
    <w:rsid w:val="004538DE"/>
    <w:rsid w:val="004574BE"/>
    <w:rsid w:val="00463A57"/>
    <w:rsid w:val="004702B8"/>
    <w:rsid w:val="00471C09"/>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4637"/>
    <w:rsid w:val="004B51BA"/>
    <w:rsid w:val="004B64F4"/>
    <w:rsid w:val="004B676E"/>
    <w:rsid w:val="004B6EA1"/>
    <w:rsid w:val="004C04FE"/>
    <w:rsid w:val="004C1FD7"/>
    <w:rsid w:val="004C4852"/>
    <w:rsid w:val="004C562F"/>
    <w:rsid w:val="004C6160"/>
    <w:rsid w:val="004C66D3"/>
    <w:rsid w:val="004C6881"/>
    <w:rsid w:val="004C6D8F"/>
    <w:rsid w:val="004D0A7B"/>
    <w:rsid w:val="004D0D3F"/>
    <w:rsid w:val="004D0ED5"/>
    <w:rsid w:val="004D1DD0"/>
    <w:rsid w:val="004D26C8"/>
    <w:rsid w:val="004D2B66"/>
    <w:rsid w:val="004D44AE"/>
    <w:rsid w:val="004D4587"/>
    <w:rsid w:val="004D7118"/>
    <w:rsid w:val="004E09FC"/>
    <w:rsid w:val="004E10CB"/>
    <w:rsid w:val="004E1450"/>
    <w:rsid w:val="004E2031"/>
    <w:rsid w:val="004E25D4"/>
    <w:rsid w:val="004E2685"/>
    <w:rsid w:val="004E4E76"/>
    <w:rsid w:val="004E7835"/>
    <w:rsid w:val="004F0D4E"/>
    <w:rsid w:val="004F11A1"/>
    <w:rsid w:val="004F18A3"/>
    <w:rsid w:val="004F3261"/>
    <w:rsid w:val="004F5C34"/>
    <w:rsid w:val="005011E3"/>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0F31"/>
    <w:rsid w:val="0053265B"/>
    <w:rsid w:val="005337E5"/>
    <w:rsid w:val="0053585F"/>
    <w:rsid w:val="00541C89"/>
    <w:rsid w:val="005420A2"/>
    <w:rsid w:val="00542309"/>
    <w:rsid w:val="00544BDE"/>
    <w:rsid w:val="005455B1"/>
    <w:rsid w:val="00547FEF"/>
    <w:rsid w:val="005504B1"/>
    <w:rsid w:val="005522F7"/>
    <w:rsid w:val="005561D2"/>
    <w:rsid w:val="005565AA"/>
    <w:rsid w:val="00556C2A"/>
    <w:rsid w:val="00557039"/>
    <w:rsid w:val="0055747B"/>
    <w:rsid w:val="00560D6A"/>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D89"/>
    <w:rsid w:val="005A4F56"/>
    <w:rsid w:val="005A6E81"/>
    <w:rsid w:val="005A6EF7"/>
    <w:rsid w:val="005A7075"/>
    <w:rsid w:val="005A77C5"/>
    <w:rsid w:val="005B1821"/>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659"/>
    <w:rsid w:val="005D7980"/>
    <w:rsid w:val="005E1222"/>
    <w:rsid w:val="005E1675"/>
    <w:rsid w:val="005E2FF8"/>
    <w:rsid w:val="005E34D9"/>
    <w:rsid w:val="005E5EA2"/>
    <w:rsid w:val="005E796E"/>
    <w:rsid w:val="005F00C1"/>
    <w:rsid w:val="005F0A35"/>
    <w:rsid w:val="005F183E"/>
    <w:rsid w:val="005F2122"/>
    <w:rsid w:val="005F4916"/>
    <w:rsid w:val="00603289"/>
    <w:rsid w:val="006053BD"/>
    <w:rsid w:val="006053D4"/>
    <w:rsid w:val="00605F26"/>
    <w:rsid w:val="00605F3A"/>
    <w:rsid w:val="00607CD5"/>
    <w:rsid w:val="006136B2"/>
    <w:rsid w:val="00616809"/>
    <w:rsid w:val="0062029D"/>
    <w:rsid w:val="0062178F"/>
    <w:rsid w:val="00622AB0"/>
    <w:rsid w:val="00623C38"/>
    <w:rsid w:val="006241D5"/>
    <w:rsid w:val="00625CA7"/>
    <w:rsid w:val="006262CC"/>
    <w:rsid w:val="00627777"/>
    <w:rsid w:val="00627AAC"/>
    <w:rsid w:val="00633181"/>
    <w:rsid w:val="0064052A"/>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66FAC"/>
    <w:rsid w:val="00671428"/>
    <w:rsid w:val="00672D4D"/>
    <w:rsid w:val="006734D7"/>
    <w:rsid w:val="0067542F"/>
    <w:rsid w:val="0067645C"/>
    <w:rsid w:val="00676B9E"/>
    <w:rsid w:val="00676DDC"/>
    <w:rsid w:val="006803A0"/>
    <w:rsid w:val="006809FA"/>
    <w:rsid w:val="00681FE6"/>
    <w:rsid w:val="006828E8"/>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7216"/>
    <w:rsid w:val="006D0637"/>
    <w:rsid w:val="006D29AF"/>
    <w:rsid w:val="006D469A"/>
    <w:rsid w:val="006E1B1F"/>
    <w:rsid w:val="006E2F27"/>
    <w:rsid w:val="006E326E"/>
    <w:rsid w:val="006E4FEC"/>
    <w:rsid w:val="006E78BE"/>
    <w:rsid w:val="006F0830"/>
    <w:rsid w:val="006F0858"/>
    <w:rsid w:val="006F20FF"/>
    <w:rsid w:val="006F249D"/>
    <w:rsid w:val="006F3985"/>
    <w:rsid w:val="006F3B6B"/>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EB7"/>
    <w:rsid w:val="00754261"/>
    <w:rsid w:val="007602EC"/>
    <w:rsid w:val="0076614E"/>
    <w:rsid w:val="00767A3B"/>
    <w:rsid w:val="00771397"/>
    <w:rsid w:val="00772A3E"/>
    <w:rsid w:val="00777566"/>
    <w:rsid w:val="00780B03"/>
    <w:rsid w:val="007821FA"/>
    <w:rsid w:val="00787438"/>
    <w:rsid w:val="00787988"/>
    <w:rsid w:val="00791789"/>
    <w:rsid w:val="00791F1E"/>
    <w:rsid w:val="0079273F"/>
    <w:rsid w:val="00792AC7"/>
    <w:rsid w:val="00795DFB"/>
    <w:rsid w:val="00797720"/>
    <w:rsid w:val="007A03F2"/>
    <w:rsid w:val="007A1EA5"/>
    <w:rsid w:val="007A4440"/>
    <w:rsid w:val="007A6052"/>
    <w:rsid w:val="007A67E6"/>
    <w:rsid w:val="007B07F8"/>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743"/>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BE0"/>
    <w:rsid w:val="008265B7"/>
    <w:rsid w:val="008266F0"/>
    <w:rsid w:val="00826813"/>
    <w:rsid w:val="00827ECD"/>
    <w:rsid w:val="00831AE9"/>
    <w:rsid w:val="00833B31"/>
    <w:rsid w:val="008351FF"/>
    <w:rsid w:val="00835E55"/>
    <w:rsid w:val="0084025E"/>
    <w:rsid w:val="00841375"/>
    <w:rsid w:val="008418DC"/>
    <w:rsid w:val="008423B1"/>
    <w:rsid w:val="00842861"/>
    <w:rsid w:val="00842EC6"/>
    <w:rsid w:val="00843710"/>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2DC1"/>
    <w:rsid w:val="00874D4E"/>
    <w:rsid w:val="00882385"/>
    <w:rsid w:val="00884365"/>
    <w:rsid w:val="00884AA2"/>
    <w:rsid w:val="0088680A"/>
    <w:rsid w:val="008901C6"/>
    <w:rsid w:val="00891781"/>
    <w:rsid w:val="00892485"/>
    <w:rsid w:val="00892D96"/>
    <w:rsid w:val="008A34CD"/>
    <w:rsid w:val="008B009A"/>
    <w:rsid w:val="008B1B97"/>
    <w:rsid w:val="008B4AA5"/>
    <w:rsid w:val="008B5738"/>
    <w:rsid w:val="008C0544"/>
    <w:rsid w:val="008C180F"/>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4C8"/>
    <w:rsid w:val="00906C9D"/>
    <w:rsid w:val="00911B2C"/>
    <w:rsid w:val="00914C02"/>
    <w:rsid w:val="00915267"/>
    <w:rsid w:val="009169FC"/>
    <w:rsid w:val="009219AE"/>
    <w:rsid w:val="00923791"/>
    <w:rsid w:val="00924955"/>
    <w:rsid w:val="0092760B"/>
    <w:rsid w:val="00932A0E"/>
    <w:rsid w:val="00932B50"/>
    <w:rsid w:val="00934157"/>
    <w:rsid w:val="00935DB9"/>
    <w:rsid w:val="0093709D"/>
    <w:rsid w:val="009415F1"/>
    <w:rsid w:val="00943857"/>
    <w:rsid w:val="00943E10"/>
    <w:rsid w:val="009446E5"/>
    <w:rsid w:val="00946017"/>
    <w:rsid w:val="00946E93"/>
    <w:rsid w:val="0094790A"/>
    <w:rsid w:val="00947F25"/>
    <w:rsid w:val="00950359"/>
    <w:rsid w:val="00952D10"/>
    <w:rsid w:val="00953022"/>
    <w:rsid w:val="00954999"/>
    <w:rsid w:val="00955C74"/>
    <w:rsid w:val="00957A9B"/>
    <w:rsid w:val="00960F1F"/>
    <w:rsid w:val="00963B3C"/>
    <w:rsid w:val="009640EA"/>
    <w:rsid w:val="009643E7"/>
    <w:rsid w:val="00964A67"/>
    <w:rsid w:val="0096531B"/>
    <w:rsid w:val="00966571"/>
    <w:rsid w:val="009675E8"/>
    <w:rsid w:val="0096771E"/>
    <w:rsid w:val="00973AA3"/>
    <w:rsid w:val="0097679A"/>
    <w:rsid w:val="00982CDD"/>
    <w:rsid w:val="00982D79"/>
    <w:rsid w:val="00983F5E"/>
    <w:rsid w:val="00986774"/>
    <w:rsid w:val="00986A2F"/>
    <w:rsid w:val="00993845"/>
    <w:rsid w:val="00995EC3"/>
    <w:rsid w:val="00997BC5"/>
    <w:rsid w:val="009A0EE9"/>
    <w:rsid w:val="009A13C1"/>
    <w:rsid w:val="009A3300"/>
    <w:rsid w:val="009A4F8F"/>
    <w:rsid w:val="009A7BB0"/>
    <w:rsid w:val="009B34DB"/>
    <w:rsid w:val="009B3E11"/>
    <w:rsid w:val="009B5522"/>
    <w:rsid w:val="009B754D"/>
    <w:rsid w:val="009B7C66"/>
    <w:rsid w:val="009C0BBB"/>
    <w:rsid w:val="009C23A1"/>
    <w:rsid w:val="009C3458"/>
    <w:rsid w:val="009C3AF9"/>
    <w:rsid w:val="009C4CFA"/>
    <w:rsid w:val="009C55C9"/>
    <w:rsid w:val="009D0146"/>
    <w:rsid w:val="009D0C92"/>
    <w:rsid w:val="009D116D"/>
    <w:rsid w:val="009D14F8"/>
    <w:rsid w:val="009D1D12"/>
    <w:rsid w:val="009D2B10"/>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11A99"/>
    <w:rsid w:val="00A12BF1"/>
    <w:rsid w:val="00A1406D"/>
    <w:rsid w:val="00A208BC"/>
    <w:rsid w:val="00A222CB"/>
    <w:rsid w:val="00A244A2"/>
    <w:rsid w:val="00A24BDF"/>
    <w:rsid w:val="00A25550"/>
    <w:rsid w:val="00A25BC2"/>
    <w:rsid w:val="00A268DF"/>
    <w:rsid w:val="00A274BC"/>
    <w:rsid w:val="00A278F5"/>
    <w:rsid w:val="00A30114"/>
    <w:rsid w:val="00A310BE"/>
    <w:rsid w:val="00A31123"/>
    <w:rsid w:val="00A3524B"/>
    <w:rsid w:val="00A356DC"/>
    <w:rsid w:val="00A35EBF"/>
    <w:rsid w:val="00A3613A"/>
    <w:rsid w:val="00A36827"/>
    <w:rsid w:val="00A439E2"/>
    <w:rsid w:val="00A44566"/>
    <w:rsid w:val="00A458B1"/>
    <w:rsid w:val="00A46226"/>
    <w:rsid w:val="00A47AB3"/>
    <w:rsid w:val="00A538B4"/>
    <w:rsid w:val="00A54E21"/>
    <w:rsid w:val="00A5593A"/>
    <w:rsid w:val="00A55C85"/>
    <w:rsid w:val="00A56D4C"/>
    <w:rsid w:val="00A57E59"/>
    <w:rsid w:val="00A60552"/>
    <w:rsid w:val="00A62239"/>
    <w:rsid w:val="00A649C4"/>
    <w:rsid w:val="00A64D13"/>
    <w:rsid w:val="00A67490"/>
    <w:rsid w:val="00A70F1B"/>
    <w:rsid w:val="00A7409D"/>
    <w:rsid w:val="00A74546"/>
    <w:rsid w:val="00A7508E"/>
    <w:rsid w:val="00A75AA5"/>
    <w:rsid w:val="00A82D7A"/>
    <w:rsid w:val="00A82F33"/>
    <w:rsid w:val="00A84D1B"/>
    <w:rsid w:val="00A86341"/>
    <w:rsid w:val="00A86760"/>
    <w:rsid w:val="00A90113"/>
    <w:rsid w:val="00A93620"/>
    <w:rsid w:val="00A95CDE"/>
    <w:rsid w:val="00A96F65"/>
    <w:rsid w:val="00A97175"/>
    <w:rsid w:val="00AA020F"/>
    <w:rsid w:val="00AA1323"/>
    <w:rsid w:val="00AA27A7"/>
    <w:rsid w:val="00AA53BE"/>
    <w:rsid w:val="00AA6A16"/>
    <w:rsid w:val="00AA7581"/>
    <w:rsid w:val="00AA7CFB"/>
    <w:rsid w:val="00AB03C0"/>
    <w:rsid w:val="00AB03EC"/>
    <w:rsid w:val="00AB2683"/>
    <w:rsid w:val="00AB5A7B"/>
    <w:rsid w:val="00AB5C02"/>
    <w:rsid w:val="00AB769B"/>
    <w:rsid w:val="00AC0B64"/>
    <w:rsid w:val="00AC19F2"/>
    <w:rsid w:val="00AC226D"/>
    <w:rsid w:val="00AC2DB9"/>
    <w:rsid w:val="00AC356A"/>
    <w:rsid w:val="00AC3C01"/>
    <w:rsid w:val="00AC7F36"/>
    <w:rsid w:val="00AD1C22"/>
    <w:rsid w:val="00AD28E1"/>
    <w:rsid w:val="00AD2DB3"/>
    <w:rsid w:val="00AD33B1"/>
    <w:rsid w:val="00AD3722"/>
    <w:rsid w:val="00AD4B14"/>
    <w:rsid w:val="00AD4DDE"/>
    <w:rsid w:val="00AD6CAC"/>
    <w:rsid w:val="00AD79ED"/>
    <w:rsid w:val="00AE05A7"/>
    <w:rsid w:val="00AE1ED6"/>
    <w:rsid w:val="00AE278F"/>
    <w:rsid w:val="00AE2899"/>
    <w:rsid w:val="00AE39FB"/>
    <w:rsid w:val="00AE3C5A"/>
    <w:rsid w:val="00AE46B7"/>
    <w:rsid w:val="00AE67D8"/>
    <w:rsid w:val="00AE6CD9"/>
    <w:rsid w:val="00AF0323"/>
    <w:rsid w:val="00AF08F4"/>
    <w:rsid w:val="00AF21B1"/>
    <w:rsid w:val="00AF2C49"/>
    <w:rsid w:val="00AF66FF"/>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373C7"/>
    <w:rsid w:val="00B41A6F"/>
    <w:rsid w:val="00B44254"/>
    <w:rsid w:val="00B44779"/>
    <w:rsid w:val="00B45BA5"/>
    <w:rsid w:val="00B45CB6"/>
    <w:rsid w:val="00B46C2F"/>
    <w:rsid w:val="00B516A3"/>
    <w:rsid w:val="00B52303"/>
    <w:rsid w:val="00B563D6"/>
    <w:rsid w:val="00B56A04"/>
    <w:rsid w:val="00B60BDB"/>
    <w:rsid w:val="00B60EB3"/>
    <w:rsid w:val="00B6449A"/>
    <w:rsid w:val="00B65845"/>
    <w:rsid w:val="00B66923"/>
    <w:rsid w:val="00B7165E"/>
    <w:rsid w:val="00B84AF4"/>
    <w:rsid w:val="00B86C0A"/>
    <w:rsid w:val="00B87595"/>
    <w:rsid w:val="00B92159"/>
    <w:rsid w:val="00B93D35"/>
    <w:rsid w:val="00B9430A"/>
    <w:rsid w:val="00B957C3"/>
    <w:rsid w:val="00B975A4"/>
    <w:rsid w:val="00B97729"/>
    <w:rsid w:val="00BA18A0"/>
    <w:rsid w:val="00BA2D82"/>
    <w:rsid w:val="00BA4165"/>
    <w:rsid w:val="00BA438C"/>
    <w:rsid w:val="00BA4944"/>
    <w:rsid w:val="00BA616A"/>
    <w:rsid w:val="00BA7F22"/>
    <w:rsid w:val="00BB2131"/>
    <w:rsid w:val="00BB47B0"/>
    <w:rsid w:val="00BB496F"/>
    <w:rsid w:val="00BB6C61"/>
    <w:rsid w:val="00BB787A"/>
    <w:rsid w:val="00BC0D16"/>
    <w:rsid w:val="00BC1C5A"/>
    <w:rsid w:val="00BD16C6"/>
    <w:rsid w:val="00BD1718"/>
    <w:rsid w:val="00BD17EE"/>
    <w:rsid w:val="00BD4EED"/>
    <w:rsid w:val="00BD670B"/>
    <w:rsid w:val="00BD7D65"/>
    <w:rsid w:val="00BE05AC"/>
    <w:rsid w:val="00BE2145"/>
    <w:rsid w:val="00BE3047"/>
    <w:rsid w:val="00BE3085"/>
    <w:rsid w:val="00BE36E8"/>
    <w:rsid w:val="00BE7D0B"/>
    <w:rsid w:val="00BF1C1A"/>
    <w:rsid w:val="00BF29F5"/>
    <w:rsid w:val="00BF3055"/>
    <w:rsid w:val="00C00870"/>
    <w:rsid w:val="00C01321"/>
    <w:rsid w:val="00C0175B"/>
    <w:rsid w:val="00C0312C"/>
    <w:rsid w:val="00C04FE9"/>
    <w:rsid w:val="00C0680F"/>
    <w:rsid w:val="00C0721E"/>
    <w:rsid w:val="00C119C9"/>
    <w:rsid w:val="00C12DD6"/>
    <w:rsid w:val="00C2323E"/>
    <w:rsid w:val="00C24524"/>
    <w:rsid w:val="00C25104"/>
    <w:rsid w:val="00C25448"/>
    <w:rsid w:val="00C27CC3"/>
    <w:rsid w:val="00C31DBE"/>
    <w:rsid w:val="00C32104"/>
    <w:rsid w:val="00C332CD"/>
    <w:rsid w:val="00C3344F"/>
    <w:rsid w:val="00C33BFF"/>
    <w:rsid w:val="00C34C5D"/>
    <w:rsid w:val="00C378EE"/>
    <w:rsid w:val="00C4055D"/>
    <w:rsid w:val="00C43948"/>
    <w:rsid w:val="00C447C6"/>
    <w:rsid w:val="00C479BF"/>
    <w:rsid w:val="00C50073"/>
    <w:rsid w:val="00C51068"/>
    <w:rsid w:val="00C52177"/>
    <w:rsid w:val="00C53EB1"/>
    <w:rsid w:val="00C57BE4"/>
    <w:rsid w:val="00C57E1E"/>
    <w:rsid w:val="00C6072A"/>
    <w:rsid w:val="00C6189E"/>
    <w:rsid w:val="00C6229B"/>
    <w:rsid w:val="00C6242E"/>
    <w:rsid w:val="00C62F70"/>
    <w:rsid w:val="00C647C4"/>
    <w:rsid w:val="00C65DE7"/>
    <w:rsid w:val="00C7380B"/>
    <w:rsid w:val="00C741FB"/>
    <w:rsid w:val="00C74F3B"/>
    <w:rsid w:val="00C75A2A"/>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1A0B"/>
    <w:rsid w:val="00CA23DE"/>
    <w:rsid w:val="00CA380B"/>
    <w:rsid w:val="00CA7790"/>
    <w:rsid w:val="00CA7A83"/>
    <w:rsid w:val="00CA7F28"/>
    <w:rsid w:val="00CB714C"/>
    <w:rsid w:val="00CC0F95"/>
    <w:rsid w:val="00CC18F5"/>
    <w:rsid w:val="00CC1F9C"/>
    <w:rsid w:val="00CC22AD"/>
    <w:rsid w:val="00CC29B7"/>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4094"/>
    <w:rsid w:val="00CE765A"/>
    <w:rsid w:val="00CE7A3A"/>
    <w:rsid w:val="00CF1DE1"/>
    <w:rsid w:val="00CF1EE8"/>
    <w:rsid w:val="00CF278F"/>
    <w:rsid w:val="00CF33B2"/>
    <w:rsid w:val="00CF3682"/>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7DE9"/>
    <w:rsid w:val="00D3171C"/>
    <w:rsid w:val="00D31AA6"/>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1BB"/>
    <w:rsid w:val="00D6320F"/>
    <w:rsid w:val="00D6442E"/>
    <w:rsid w:val="00D65D66"/>
    <w:rsid w:val="00D66222"/>
    <w:rsid w:val="00D66E47"/>
    <w:rsid w:val="00D6750A"/>
    <w:rsid w:val="00D711E3"/>
    <w:rsid w:val="00D777A3"/>
    <w:rsid w:val="00D77823"/>
    <w:rsid w:val="00D82FD0"/>
    <w:rsid w:val="00D84435"/>
    <w:rsid w:val="00D84C9A"/>
    <w:rsid w:val="00D85469"/>
    <w:rsid w:val="00D8617F"/>
    <w:rsid w:val="00D86AFF"/>
    <w:rsid w:val="00D94016"/>
    <w:rsid w:val="00D97F66"/>
    <w:rsid w:val="00DA0155"/>
    <w:rsid w:val="00DA092B"/>
    <w:rsid w:val="00DA20CD"/>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53E8"/>
    <w:rsid w:val="00DE683F"/>
    <w:rsid w:val="00DF0D93"/>
    <w:rsid w:val="00DF0F7A"/>
    <w:rsid w:val="00DF1556"/>
    <w:rsid w:val="00DF2A19"/>
    <w:rsid w:val="00DF3A76"/>
    <w:rsid w:val="00DF60E4"/>
    <w:rsid w:val="00DF6D12"/>
    <w:rsid w:val="00DF762F"/>
    <w:rsid w:val="00DF7F8A"/>
    <w:rsid w:val="00E0003A"/>
    <w:rsid w:val="00E016F4"/>
    <w:rsid w:val="00E01A82"/>
    <w:rsid w:val="00E01C00"/>
    <w:rsid w:val="00E0373F"/>
    <w:rsid w:val="00E0480E"/>
    <w:rsid w:val="00E063A3"/>
    <w:rsid w:val="00E07334"/>
    <w:rsid w:val="00E07FC0"/>
    <w:rsid w:val="00E1145E"/>
    <w:rsid w:val="00E1165D"/>
    <w:rsid w:val="00E11852"/>
    <w:rsid w:val="00E16D27"/>
    <w:rsid w:val="00E20542"/>
    <w:rsid w:val="00E215BD"/>
    <w:rsid w:val="00E22309"/>
    <w:rsid w:val="00E22FDE"/>
    <w:rsid w:val="00E23D42"/>
    <w:rsid w:val="00E24056"/>
    <w:rsid w:val="00E24C0D"/>
    <w:rsid w:val="00E2598F"/>
    <w:rsid w:val="00E31176"/>
    <w:rsid w:val="00E320C4"/>
    <w:rsid w:val="00E33E40"/>
    <w:rsid w:val="00E4067B"/>
    <w:rsid w:val="00E4276C"/>
    <w:rsid w:val="00E441C8"/>
    <w:rsid w:val="00E441EA"/>
    <w:rsid w:val="00E4568C"/>
    <w:rsid w:val="00E4632E"/>
    <w:rsid w:val="00E47421"/>
    <w:rsid w:val="00E4787B"/>
    <w:rsid w:val="00E479AE"/>
    <w:rsid w:val="00E50C79"/>
    <w:rsid w:val="00E50EA7"/>
    <w:rsid w:val="00E515FC"/>
    <w:rsid w:val="00E51F36"/>
    <w:rsid w:val="00E528AB"/>
    <w:rsid w:val="00E52969"/>
    <w:rsid w:val="00E55D32"/>
    <w:rsid w:val="00E6187C"/>
    <w:rsid w:val="00E63D11"/>
    <w:rsid w:val="00E65941"/>
    <w:rsid w:val="00E66F70"/>
    <w:rsid w:val="00E67167"/>
    <w:rsid w:val="00E74519"/>
    <w:rsid w:val="00E75F46"/>
    <w:rsid w:val="00E81984"/>
    <w:rsid w:val="00E82983"/>
    <w:rsid w:val="00E833BA"/>
    <w:rsid w:val="00E85D2D"/>
    <w:rsid w:val="00E8655C"/>
    <w:rsid w:val="00E87DFF"/>
    <w:rsid w:val="00E92741"/>
    <w:rsid w:val="00E93329"/>
    <w:rsid w:val="00E93D2F"/>
    <w:rsid w:val="00E94F62"/>
    <w:rsid w:val="00E976FC"/>
    <w:rsid w:val="00E977E8"/>
    <w:rsid w:val="00EA0591"/>
    <w:rsid w:val="00EA1102"/>
    <w:rsid w:val="00EA23BF"/>
    <w:rsid w:val="00EA49FB"/>
    <w:rsid w:val="00EA74D2"/>
    <w:rsid w:val="00EB0F40"/>
    <w:rsid w:val="00EB1DFA"/>
    <w:rsid w:val="00EB2085"/>
    <w:rsid w:val="00EB30EB"/>
    <w:rsid w:val="00EB3A76"/>
    <w:rsid w:val="00EB6B7F"/>
    <w:rsid w:val="00EC08B9"/>
    <w:rsid w:val="00EC53AE"/>
    <w:rsid w:val="00EC5CB9"/>
    <w:rsid w:val="00ED39D7"/>
    <w:rsid w:val="00ED5B93"/>
    <w:rsid w:val="00ED5CDE"/>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74BC"/>
    <w:rsid w:val="00F043E4"/>
    <w:rsid w:val="00F071A9"/>
    <w:rsid w:val="00F102B6"/>
    <w:rsid w:val="00F1084E"/>
    <w:rsid w:val="00F10B00"/>
    <w:rsid w:val="00F10B4D"/>
    <w:rsid w:val="00F10F95"/>
    <w:rsid w:val="00F11173"/>
    <w:rsid w:val="00F11638"/>
    <w:rsid w:val="00F142CE"/>
    <w:rsid w:val="00F21511"/>
    <w:rsid w:val="00F21C72"/>
    <w:rsid w:val="00F222D0"/>
    <w:rsid w:val="00F23383"/>
    <w:rsid w:val="00F2680C"/>
    <w:rsid w:val="00F27741"/>
    <w:rsid w:val="00F279A5"/>
    <w:rsid w:val="00F32FBB"/>
    <w:rsid w:val="00F35AE8"/>
    <w:rsid w:val="00F36667"/>
    <w:rsid w:val="00F40F80"/>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249F"/>
    <w:rsid w:val="00F82ACE"/>
    <w:rsid w:val="00F82D76"/>
    <w:rsid w:val="00F832EF"/>
    <w:rsid w:val="00F83B6B"/>
    <w:rsid w:val="00F83C73"/>
    <w:rsid w:val="00F854E3"/>
    <w:rsid w:val="00F90BEF"/>
    <w:rsid w:val="00F93C9C"/>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C178A"/>
    <w:rsid w:val="00FC5B2B"/>
    <w:rsid w:val="00FC62F2"/>
    <w:rsid w:val="00FC64DF"/>
    <w:rsid w:val="00FC667B"/>
    <w:rsid w:val="00FC777F"/>
    <w:rsid w:val="00FD2190"/>
    <w:rsid w:val="00FD33BF"/>
    <w:rsid w:val="00FE2050"/>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FollowedHyperlink" w:uiPriority="99"/>
    <w:lsdException w:name="Strong" w:semiHidden="0" w:unhideWhenUsed="0" w:qFormat="1"/>
    <w:lsdException w:name="Emphasis" w:semiHidden="0" w:unhideWhenUsed="0" w:qFormat="1"/>
    <w:lsdException w:name="Normal (Web)" w:uiPriority="34"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34"/>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34"/>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34"/>
    <w:qFormat/>
    <w:rsid w:val="00950359"/>
    <w:rPr>
      <w:sz w:val="28"/>
    </w:rPr>
  </w:style>
  <w:style w:type="paragraph" w:customStyle="1" w:styleId="1fff">
    <w:name w:val="Основной текст1"/>
    <w:basedOn w:val="1ffe"/>
    <w:uiPriority w:val="34"/>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uiPriority w:val="34"/>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34"/>
    <w:qFormat/>
    <w:rsid w:val="00923791"/>
    <w:pPr>
      <w:ind w:firstLine="709"/>
      <w:jc w:val="both"/>
    </w:pPr>
    <w:rPr>
      <w:snapToGrid w:val="0"/>
    </w:rPr>
  </w:style>
  <w:style w:type="paragraph" w:customStyle="1" w:styleId="3b">
    <w:name w:val="Обычный3"/>
    <w:uiPriority w:val="34"/>
    <w:qFormat/>
    <w:rsid w:val="00923791"/>
    <w:rPr>
      <w:sz w:val="28"/>
    </w:rPr>
  </w:style>
  <w:style w:type="paragraph" w:customStyle="1" w:styleId="3c">
    <w:name w:val="Основной текст3"/>
    <w:basedOn w:val="3b"/>
    <w:uiPriority w:val="34"/>
    <w:qFormat/>
    <w:rsid w:val="00923791"/>
    <w:pPr>
      <w:snapToGrid w:val="0"/>
      <w:jc w:val="both"/>
    </w:pPr>
    <w:rPr>
      <w:rFonts w:ascii="a_Timer" w:hAnsi="a_Timer"/>
    </w:rPr>
  </w:style>
  <w:style w:type="paragraph" w:customStyle="1" w:styleId="231">
    <w:name w:val="Основной текст 23"/>
    <w:basedOn w:val="a"/>
    <w:uiPriority w:val="34"/>
    <w:qFormat/>
    <w:rsid w:val="00923791"/>
    <w:pPr>
      <w:jc w:val="both"/>
    </w:pPr>
    <w:rPr>
      <w:szCs w:val="20"/>
    </w:rPr>
  </w:style>
  <w:style w:type="paragraph" w:customStyle="1" w:styleId="42">
    <w:name w:val="Цитата4"/>
    <w:basedOn w:val="a"/>
    <w:uiPriority w:val="34"/>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34"/>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1fffa">
    <w:name w:val="Название Знак1"/>
    <w:basedOn w:val="a1"/>
    <w:rsid w:val="00A44566"/>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A44566"/>
    <w:rPr>
      <w:rFonts w:ascii="Arial" w:hAnsi="Arial" w:cs="Arial"/>
      <w:b/>
      <w:bCs/>
    </w:rPr>
  </w:style>
  <w:style w:type="paragraph" w:customStyle="1" w:styleId="2110">
    <w:name w:val="Основной текст 211"/>
    <w:basedOn w:val="a"/>
    <w:uiPriority w:val="34"/>
    <w:qFormat/>
    <w:rsid w:val="00A4456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34"/>
    <w:qFormat/>
    <w:rsid w:val="00A44566"/>
    <w:pPr>
      <w:suppressAutoHyphens/>
      <w:spacing w:line="360" w:lineRule="auto"/>
      <w:ind w:left="360" w:firstLine="709"/>
      <w:jc w:val="center"/>
    </w:pPr>
    <w:rPr>
      <w:b/>
      <w:bCs/>
      <w:caps/>
      <w:sz w:val="24"/>
      <w:szCs w:val="24"/>
      <w:lang w:eastAsia="ar-SA"/>
    </w:rPr>
  </w:style>
  <w:style w:type="character" w:customStyle="1" w:styleId="1fffb">
    <w:name w:val="Подзаголовок Знак1"/>
    <w:basedOn w:val="a1"/>
    <w:rsid w:val="00A44566"/>
    <w:rPr>
      <w:rFonts w:asciiTheme="minorHAnsi" w:eastAsiaTheme="minorEastAsia" w:hAnsiTheme="minorHAnsi" w:cstheme="minorBidi"/>
      <w:color w:val="5A5A5A" w:themeColor="text1" w:themeTint="A5"/>
      <w:spacing w:val="15"/>
      <w:sz w:val="22"/>
      <w:szCs w:val="22"/>
    </w:rPr>
  </w:style>
  <w:style w:type="character" w:customStyle="1" w:styleId="1fffc">
    <w:name w:val="Нижний колонтитул Знак1"/>
    <w:basedOn w:val="a1"/>
    <w:semiHidden/>
    <w:rsid w:val="00A44566"/>
    <w:rPr>
      <w:sz w:val="28"/>
      <w:szCs w:val="28"/>
    </w:rPr>
  </w:style>
  <w:style w:type="character" w:customStyle="1" w:styleId="1fffd">
    <w:name w:val="Основной текст с отступом Знак1"/>
    <w:basedOn w:val="a1"/>
    <w:semiHidden/>
    <w:rsid w:val="00A44566"/>
    <w:rPr>
      <w:sz w:val="28"/>
      <w:szCs w:val="28"/>
    </w:rPr>
  </w:style>
  <w:style w:type="paragraph" w:customStyle="1" w:styleId="232">
    <w:name w:val="Знак23"/>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34"/>
    <w:qFormat/>
    <w:rsid w:val="00A44566"/>
    <w:pPr>
      <w:spacing w:after="160" w:line="240" w:lineRule="exact"/>
    </w:pPr>
    <w:rPr>
      <w:rFonts w:ascii="Verdana" w:hAnsi="Verdana"/>
      <w:sz w:val="20"/>
      <w:szCs w:val="20"/>
      <w:lang w:val="en-US" w:eastAsia="en-US"/>
    </w:rPr>
  </w:style>
  <w:style w:type="character" w:customStyle="1" w:styleId="1fffe">
    <w:name w:val="Обычный1 Знак"/>
    <w:basedOn w:val="a1"/>
    <w:link w:val="111"/>
    <w:locked/>
    <w:rsid w:val="00A44566"/>
    <w:rPr>
      <w:sz w:val="28"/>
    </w:rPr>
  </w:style>
  <w:style w:type="paragraph" w:customStyle="1" w:styleId="111">
    <w:name w:val="Обычный11"/>
    <w:link w:val="1fffe"/>
    <w:qFormat/>
    <w:rsid w:val="00A44566"/>
    <w:rPr>
      <w:sz w:val="28"/>
    </w:rPr>
  </w:style>
  <w:style w:type="paragraph" w:customStyle="1" w:styleId="112">
    <w:name w:val="Основной текст11"/>
    <w:basedOn w:val="111"/>
    <w:qFormat/>
    <w:rsid w:val="00A44566"/>
    <w:pPr>
      <w:snapToGrid w:val="0"/>
      <w:jc w:val="both"/>
    </w:pPr>
    <w:rPr>
      <w:rFonts w:ascii="a_Timer" w:hAnsi="a_Timer"/>
    </w:rPr>
  </w:style>
  <w:style w:type="paragraph" w:customStyle="1" w:styleId="21e">
    <w:name w:val="Цитата21"/>
    <w:basedOn w:val="a"/>
    <w:uiPriority w:val="34"/>
    <w:qFormat/>
    <w:rsid w:val="00A44566"/>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22">
    <w:name w:val="Знак22"/>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34"/>
    <w:qFormat/>
    <w:rsid w:val="00A44566"/>
    <w:pPr>
      <w:spacing w:after="160" w:line="240" w:lineRule="exact"/>
    </w:pPr>
    <w:rPr>
      <w:rFonts w:ascii="Verdana" w:hAnsi="Verdana"/>
      <w:sz w:val="20"/>
      <w:szCs w:val="20"/>
      <w:lang w:val="en-US" w:eastAsia="en-US"/>
    </w:rPr>
  </w:style>
  <w:style w:type="paragraph" w:customStyle="1" w:styleId="3e">
    <w:name w:val="Название объекта3"/>
    <w:basedOn w:val="a"/>
    <w:uiPriority w:val="34"/>
    <w:qFormat/>
    <w:rsid w:val="00A44566"/>
    <w:pPr>
      <w:suppressAutoHyphens/>
      <w:spacing w:line="360" w:lineRule="auto"/>
      <w:ind w:left="1080" w:firstLine="709"/>
      <w:jc w:val="both"/>
    </w:pPr>
    <w:rPr>
      <w:rFonts w:ascii="Arial" w:hAnsi="Arial" w:cs="Arial"/>
      <w:spacing w:val="-5"/>
      <w:sz w:val="20"/>
      <w:szCs w:val="20"/>
      <w:lang w:eastAsia="ar-SA"/>
    </w:rPr>
  </w:style>
  <w:style w:type="paragraph" w:customStyle="1" w:styleId="2f9">
    <w:name w:val="Абзац списка2"/>
    <w:basedOn w:val="a"/>
    <w:uiPriority w:val="34"/>
    <w:qFormat/>
    <w:rsid w:val="00A44566"/>
    <w:pPr>
      <w:ind w:left="720"/>
      <w:contextualSpacing/>
    </w:pPr>
    <w:rPr>
      <w:sz w:val="24"/>
      <w:szCs w:val="24"/>
    </w:rPr>
  </w:style>
  <w:style w:type="character" w:customStyle="1" w:styleId="71">
    <w:name w:val="Заголовок 7 Знак1"/>
    <w:basedOn w:val="a1"/>
    <w:semiHidden/>
    <w:rsid w:val="00A44566"/>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A44566"/>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A44566"/>
    <w:rPr>
      <w:rFonts w:asciiTheme="majorHAnsi" w:eastAsiaTheme="majorEastAsia" w:hAnsiTheme="majorHAnsi" w:cstheme="majorBidi"/>
      <w:i/>
      <w:iCs/>
      <w:color w:val="272727" w:themeColor="text1" w:themeTint="D8"/>
      <w:sz w:val="21"/>
      <w:szCs w:val="21"/>
    </w:rPr>
  </w:style>
  <w:style w:type="character" w:customStyle="1" w:styleId="21f1">
    <w:name w:val="Основной текст с отступом 2 Знак1"/>
    <w:basedOn w:val="a1"/>
    <w:semiHidden/>
    <w:rsid w:val="00A44566"/>
    <w:rPr>
      <w:sz w:val="28"/>
      <w:szCs w:val="28"/>
    </w:rPr>
  </w:style>
  <w:style w:type="character" w:customStyle="1" w:styleId="317">
    <w:name w:val="Основной текст с отступом 3 Знак1"/>
    <w:basedOn w:val="a1"/>
    <w:semiHidden/>
    <w:rsid w:val="00A44566"/>
    <w:rPr>
      <w:sz w:val="16"/>
      <w:szCs w:val="16"/>
    </w:rPr>
  </w:style>
  <w:style w:type="character" w:customStyle="1" w:styleId="3f">
    <w:name w:val="Знак Знак Знак Знак3"/>
    <w:basedOn w:val="16"/>
    <w:rsid w:val="00A44566"/>
    <w:rPr>
      <w:sz w:val="24"/>
      <w:szCs w:val="24"/>
      <w:lang w:val="ru-RU" w:eastAsia="ar-SA" w:bidi="ar-SA"/>
    </w:rPr>
  </w:style>
  <w:style w:type="character" w:customStyle="1" w:styleId="46">
    <w:name w:val="Знак4"/>
    <w:basedOn w:val="16"/>
    <w:rsid w:val="00A44566"/>
    <w:rPr>
      <w:sz w:val="24"/>
      <w:szCs w:val="24"/>
      <w:lang w:val="ru-RU" w:eastAsia="ar-SA" w:bidi="ar-SA"/>
    </w:rPr>
  </w:style>
  <w:style w:type="character" w:customStyle="1" w:styleId="1ffff">
    <w:name w:val="Электронная подпись Знак1"/>
    <w:basedOn w:val="a1"/>
    <w:semiHidden/>
    <w:rsid w:val="00A44566"/>
    <w:rPr>
      <w:sz w:val="28"/>
      <w:szCs w:val="28"/>
    </w:rPr>
  </w:style>
  <w:style w:type="character" w:customStyle="1" w:styleId="1ffff0">
    <w:name w:val="Текст Знак1"/>
    <w:basedOn w:val="a1"/>
    <w:semiHidden/>
    <w:rsid w:val="00A44566"/>
    <w:rPr>
      <w:rFonts w:ascii="Consolas" w:hAnsi="Consolas" w:cs="Consolas"/>
      <w:sz w:val="21"/>
      <w:szCs w:val="21"/>
    </w:rPr>
  </w:style>
  <w:style w:type="character" w:customStyle="1" w:styleId="121">
    <w:name w:val="Знак12"/>
    <w:basedOn w:val="16"/>
    <w:rsid w:val="00A44566"/>
    <w:rPr>
      <w:rFonts w:ascii="Arial" w:hAnsi="Arial" w:cs="Arial" w:hint="default"/>
      <w:b/>
      <w:bCs/>
      <w:i/>
      <w:iCs/>
      <w:sz w:val="28"/>
      <w:szCs w:val="28"/>
      <w:lang w:val="ru-RU" w:eastAsia="ar-SA" w:bidi="ar-SA"/>
    </w:rPr>
  </w:style>
  <w:style w:type="character" w:customStyle="1" w:styleId="122">
    <w:name w:val="Знак Знак12"/>
    <w:basedOn w:val="16"/>
    <w:rsid w:val="00A44566"/>
    <w:rPr>
      <w:sz w:val="24"/>
      <w:szCs w:val="24"/>
      <w:u w:val="single"/>
      <w:lang w:val="ru-RU" w:eastAsia="ar-SA" w:bidi="ar-SA"/>
    </w:rPr>
  </w:style>
  <w:style w:type="character" w:customStyle="1" w:styleId="2120">
    <w:name w:val="Знак2 Знак Знак12"/>
    <w:basedOn w:val="16"/>
    <w:rsid w:val="00A44566"/>
    <w:rPr>
      <w:rFonts w:ascii="Arial" w:hAnsi="Arial" w:cs="Arial" w:hint="default"/>
      <w:b/>
      <w:bCs/>
      <w:i/>
      <w:iCs/>
      <w:sz w:val="28"/>
      <w:szCs w:val="28"/>
      <w:lang w:val="ru-RU" w:eastAsia="ar-SA" w:bidi="ar-SA"/>
    </w:rPr>
  </w:style>
  <w:style w:type="character" w:customStyle="1" w:styleId="320">
    <w:name w:val="Знак3 Знак Знак2"/>
    <w:basedOn w:val="16"/>
    <w:rsid w:val="00A44566"/>
    <w:rPr>
      <w:b/>
      <w:bCs w:val="0"/>
      <w:sz w:val="24"/>
      <w:szCs w:val="24"/>
      <w:u w:val="single"/>
      <w:lang w:val="ru-RU" w:eastAsia="ar-SA" w:bidi="ar-SA"/>
    </w:rPr>
  </w:style>
  <w:style w:type="character" w:customStyle="1" w:styleId="233">
    <w:name w:val="Знак2 Знак Знак3"/>
    <w:basedOn w:val="16"/>
    <w:rsid w:val="00A44566"/>
    <w:rPr>
      <w:b/>
      <w:bCs/>
      <w:sz w:val="24"/>
      <w:szCs w:val="24"/>
      <w:lang w:val="ru-RU" w:eastAsia="ar-SA" w:bidi="ar-SA"/>
    </w:rPr>
  </w:style>
  <w:style w:type="character" w:customStyle="1" w:styleId="123">
    <w:name w:val="Знак1 Знак Знак2"/>
    <w:basedOn w:val="16"/>
    <w:rsid w:val="00A44566"/>
    <w:rPr>
      <w:sz w:val="24"/>
      <w:szCs w:val="24"/>
      <w:lang w:val="ru-RU" w:eastAsia="ar-SA" w:bidi="ar-SA"/>
    </w:rPr>
  </w:style>
  <w:style w:type="character" w:customStyle="1" w:styleId="318">
    <w:name w:val="Основной текст 3 Знак1"/>
    <w:basedOn w:val="a1"/>
    <w:semiHidden/>
    <w:rsid w:val="00A44566"/>
    <w:rPr>
      <w:sz w:val="16"/>
      <w:szCs w:val="16"/>
    </w:rPr>
  </w:style>
  <w:style w:type="character" w:customStyle="1" w:styleId="1ffff1">
    <w:name w:val="Текст сноски Знак1"/>
    <w:basedOn w:val="a1"/>
    <w:semiHidden/>
    <w:rsid w:val="00A44566"/>
  </w:style>
  <w:style w:type="character" w:customStyle="1" w:styleId="3f0">
    <w:name w:val="Знак3"/>
    <w:basedOn w:val="16"/>
    <w:rsid w:val="00A44566"/>
    <w:rPr>
      <w:rFonts w:ascii="Arial" w:hAnsi="Arial" w:cs="Arial" w:hint="default"/>
      <w:b/>
      <w:bCs/>
      <w:i/>
      <w:iCs/>
      <w:sz w:val="28"/>
      <w:szCs w:val="28"/>
      <w:lang w:val="ru-RU" w:eastAsia="ar-SA" w:bidi="ar-SA"/>
    </w:rPr>
  </w:style>
  <w:style w:type="character" w:customStyle="1" w:styleId="113">
    <w:name w:val="Знак11"/>
    <w:basedOn w:val="16"/>
    <w:rsid w:val="00A44566"/>
    <w:rPr>
      <w:rFonts w:ascii="Arial" w:hAnsi="Arial" w:cs="Arial" w:hint="default"/>
      <w:b/>
      <w:bCs/>
      <w:i/>
      <w:iCs/>
      <w:sz w:val="28"/>
      <w:szCs w:val="28"/>
      <w:lang w:val="ru-RU" w:eastAsia="ar-SA" w:bidi="ar-SA"/>
    </w:rPr>
  </w:style>
  <w:style w:type="character" w:customStyle="1" w:styleId="114">
    <w:name w:val="Знак Знак11"/>
    <w:basedOn w:val="16"/>
    <w:rsid w:val="00A44566"/>
    <w:rPr>
      <w:sz w:val="24"/>
      <w:szCs w:val="24"/>
      <w:u w:val="single"/>
      <w:lang w:val="ru-RU" w:eastAsia="ar-SA" w:bidi="ar-SA"/>
    </w:rPr>
  </w:style>
  <w:style w:type="character" w:customStyle="1" w:styleId="2112">
    <w:name w:val="Знак2 Знак Знак11"/>
    <w:basedOn w:val="16"/>
    <w:rsid w:val="00A44566"/>
    <w:rPr>
      <w:rFonts w:ascii="Arial" w:hAnsi="Arial" w:cs="Arial" w:hint="default"/>
      <w:b/>
      <w:bCs/>
      <w:i/>
      <w:iCs/>
      <w:sz w:val="28"/>
      <w:szCs w:val="28"/>
      <w:lang w:val="ru-RU" w:eastAsia="ar-SA" w:bidi="ar-SA"/>
    </w:rPr>
  </w:style>
  <w:style w:type="character" w:customStyle="1" w:styleId="2fa">
    <w:name w:val="Знак Знак Знак Знак2"/>
    <w:basedOn w:val="16"/>
    <w:rsid w:val="00A44566"/>
    <w:rPr>
      <w:sz w:val="24"/>
      <w:szCs w:val="24"/>
      <w:lang w:val="ru-RU" w:eastAsia="ar-SA" w:bidi="ar-SA"/>
    </w:rPr>
  </w:style>
  <w:style w:type="character" w:customStyle="1" w:styleId="319">
    <w:name w:val="Знак3 Знак Знак1"/>
    <w:basedOn w:val="16"/>
    <w:rsid w:val="00A44566"/>
    <w:rPr>
      <w:b/>
      <w:bCs w:val="0"/>
      <w:sz w:val="24"/>
      <w:szCs w:val="24"/>
      <w:u w:val="single"/>
      <w:lang w:val="ru-RU" w:eastAsia="ar-SA" w:bidi="ar-SA"/>
    </w:rPr>
  </w:style>
  <w:style w:type="character" w:customStyle="1" w:styleId="223">
    <w:name w:val="Знак2 Знак Знак2"/>
    <w:basedOn w:val="16"/>
    <w:rsid w:val="00A44566"/>
    <w:rPr>
      <w:b/>
      <w:bCs/>
      <w:sz w:val="24"/>
      <w:szCs w:val="24"/>
      <w:lang w:val="ru-RU" w:eastAsia="ar-SA" w:bidi="ar-SA"/>
    </w:rPr>
  </w:style>
  <w:style w:type="character" w:customStyle="1" w:styleId="115">
    <w:name w:val="Знак1 Знак Знак1"/>
    <w:basedOn w:val="16"/>
    <w:rsid w:val="00A44566"/>
    <w:rPr>
      <w:sz w:val="24"/>
      <w:szCs w:val="24"/>
      <w:lang w:val="ru-RU" w:eastAsia="ar-SA" w:bidi="ar-SA"/>
    </w:rPr>
  </w:style>
  <w:style w:type="character" w:customStyle="1" w:styleId="FontStyle14">
    <w:name w:val="Font Style14"/>
    <w:basedOn w:val="a1"/>
    <w:rsid w:val="00A44566"/>
    <w:rPr>
      <w:rFonts w:ascii="Times New Roman" w:hAnsi="Times New Roman" w:cs="Times New Roman" w:hint="default"/>
      <w:b/>
      <w:bCs/>
      <w:sz w:val="26"/>
      <w:szCs w:val="26"/>
    </w:rPr>
  </w:style>
  <w:style w:type="character" w:customStyle="1" w:styleId="docaccesstitle1">
    <w:name w:val="docaccess_title1"/>
    <w:basedOn w:val="a1"/>
    <w:rsid w:val="00A44566"/>
    <w:rPr>
      <w:rFonts w:ascii="Times New Roman" w:hAnsi="Times New Roman" w:cs="Times New Roman" w:hint="default"/>
      <w:sz w:val="28"/>
      <w:szCs w:val="28"/>
    </w:rPr>
  </w:style>
  <w:style w:type="character" w:customStyle="1" w:styleId="submenu-table">
    <w:name w:val="submenu-table"/>
    <w:basedOn w:val="a1"/>
    <w:rsid w:val="00A44566"/>
  </w:style>
  <w:style w:type="character" w:customStyle="1" w:styleId="docaccessactnever">
    <w:name w:val="docaccess_act_never"/>
    <w:basedOn w:val="a1"/>
    <w:rsid w:val="00A44566"/>
  </w:style>
  <w:style w:type="character" w:customStyle="1" w:styleId="docaccessbase">
    <w:name w:val="docaccess_base"/>
    <w:basedOn w:val="a1"/>
    <w:rsid w:val="00A44566"/>
  </w:style>
  <w:style w:type="table" w:customStyle="1" w:styleId="2fb">
    <w:name w:val="Сетка таблицы2"/>
    <w:basedOn w:val="a2"/>
    <w:uiPriority w:val="59"/>
    <w:rsid w:val="00A445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semiHidden/>
    <w:rsid w:val="003510D9"/>
  </w:style>
  <w:style w:type="paragraph" w:customStyle="1" w:styleId="Style2">
    <w:name w:val="Style2"/>
    <w:basedOn w:val="a"/>
    <w:rsid w:val="003510D9"/>
    <w:pPr>
      <w:widowControl w:val="0"/>
      <w:autoSpaceDE w:val="0"/>
      <w:autoSpaceDN w:val="0"/>
      <w:adjustRightInd w:val="0"/>
      <w:spacing w:line="322" w:lineRule="exact"/>
    </w:pPr>
    <w:rPr>
      <w:sz w:val="24"/>
      <w:szCs w:val="24"/>
    </w:rPr>
  </w:style>
  <w:style w:type="paragraph" w:customStyle="1" w:styleId="Style3">
    <w:name w:val="Style3"/>
    <w:basedOn w:val="a"/>
    <w:rsid w:val="003510D9"/>
    <w:pPr>
      <w:widowControl w:val="0"/>
      <w:autoSpaceDE w:val="0"/>
      <w:autoSpaceDN w:val="0"/>
      <w:adjustRightInd w:val="0"/>
      <w:spacing w:line="321" w:lineRule="exact"/>
      <w:ind w:firstLine="595"/>
      <w:jc w:val="both"/>
    </w:pPr>
    <w:rPr>
      <w:sz w:val="24"/>
      <w:szCs w:val="24"/>
    </w:rPr>
  </w:style>
  <w:style w:type="paragraph" w:customStyle="1" w:styleId="Style5">
    <w:name w:val="Style5"/>
    <w:basedOn w:val="a"/>
    <w:rsid w:val="003510D9"/>
    <w:pPr>
      <w:widowControl w:val="0"/>
      <w:autoSpaceDE w:val="0"/>
      <w:autoSpaceDN w:val="0"/>
      <w:adjustRightInd w:val="0"/>
      <w:spacing w:line="322" w:lineRule="exact"/>
      <w:ind w:firstLine="595"/>
      <w:jc w:val="both"/>
    </w:pPr>
    <w:rPr>
      <w:sz w:val="24"/>
      <w:szCs w:val="24"/>
    </w:rPr>
  </w:style>
  <w:style w:type="character" w:customStyle="1" w:styleId="FontStyle11">
    <w:name w:val="Font Style11"/>
    <w:rsid w:val="003510D9"/>
    <w:rPr>
      <w:rFonts w:ascii="Times New Roman" w:hAnsi="Times New Roman" w:cs="Times New Roman"/>
      <w:sz w:val="26"/>
      <w:szCs w:val="26"/>
    </w:rPr>
  </w:style>
  <w:style w:type="character" w:customStyle="1" w:styleId="FontStyle12">
    <w:name w:val="Font Style12"/>
    <w:rsid w:val="003510D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FollowedHyperlink" w:uiPriority="99"/>
    <w:lsdException w:name="Strong" w:semiHidden="0" w:unhideWhenUsed="0" w:qFormat="1"/>
    <w:lsdException w:name="Emphasis" w:semiHidden="0" w:unhideWhenUsed="0" w:qFormat="1"/>
    <w:lsdException w:name="Normal (Web)" w:uiPriority="34"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34"/>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34"/>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34"/>
    <w:qFormat/>
    <w:rsid w:val="00950359"/>
    <w:rPr>
      <w:sz w:val="28"/>
    </w:rPr>
  </w:style>
  <w:style w:type="paragraph" w:customStyle="1" w:styleId="1fff">
    <w:name w:val="Основной текст1"/>
    <w:basedOn w:val="1ffe"/>
    <w:uiPriority w:val="34"/>
    <w:qFormat/>
    <w:rsid w:val="00950359"/>
    <w:pPr>
      <w:snapToGrid w:val="0"/>
      <w:jc w:val="both"/>
    </w:pPr>
    <w:rPr>
      <w:rFonts w:ascii="a_Timer" w:hAnsi="a_Timer"/>
    </w:rPr>
  </w:style>
  <w:style w:type="paragraph" w:customStyle="1" w:styleId="2f1">
    <w:name w:val="Цитата2"/>
    <w:basedOn w:val="a"/>
    <w:uiPriority w:val="34"/>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qFormat/>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qFormat/>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uiPriority w:val="34"/>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uiPriority w:val="34"/>
    <w:qFormat/>
    <w:rsid w:val="00923791"/>
    <w:pPr>
      <w:ind w:firstLine="709"/>
      <w:jc w:val="both"/>
    </w:pPr>
    <w:rPr>
      <w:snapToGrid w:val="0"/>
    </w:rPr>
  </w:style>
  <w:style w:type="paragraph" w:customStyle="1" w:styleId="3b">
    <w:name w:val="Обычный3"/>
    <w:uiPriority w:val="34"/>
    <w:qFormat/>
    <w:rsid w:val="00923791"/>
    <w:rPr>
      <w:sz w:val="28"/>
    </w:rPr>
  </w:style>
  <w:style w:type="paragraph" w:customStyle="1" w:styleId="3c">
    <w:name w:val="Основной текст3"/>
    <w:basedOn w:val="3b"/>
    <w:uiPriority w:val="34"/>
    <w:qFormat/>
    <w:rsid w:val="00923791"/>
    <w:pPr>
      <w:snapToGrid w:val="0"/>
      <w:jc w:val="both"/>
    </w:pPr>
    <w:rPr>
      <w:rFonts w:ascii="a_Timer" w:hAnsi="a_Timer"/>
    </w:rPr>
  </w:style>
  <w:style w:type="paragraph" w:customStyle="1" w:styleId="231">
    <w:name w:val="Основной текст 23"/>
    <w:basedOn w:val="a"/>
    <w:uiPriority w:val="34"/>
    <w:qFormat/>
    <w:rsid w:val="00923791"/>
    <w:pPr>
      <w:jc w:val="both"/>
    </w:pPr>
    <w:rPr>
      <w:szCs w:val="20"/>
    </w:rPr>
  </w:style>
  <w:style w:type="paragraph" w:customStyle="1" w:styleId="42">
    <w:name w:val="Цитата4"/>
    <w:basedOn w:val="a"/>
    <w:uiPriority w:val="34"/>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uiPriority w:val="34"/>
    <w:qFormat/>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34"/>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character" w:customStyle="1" w:styleId="1fffa">
    <w:name w:val="Название Знак1"/>
    <w:basedOn w:val="a1"/>
    <w:rsid w:val="00A44566"/>
    <w:rPr>
      <w:rFonts w:asciiTheme="majorHAnsi" w:eastAsiaTheme="majorEastAsia" w:hAnsiTheme="majorHAnsi" w:cstheme="majorBidi"/>
      <w:spacing w:val="-10"/>
      <w:kern w:val="28"/>
      <w:sz w:val="56"/>
      <w:szCs w:val="56"/>
    </w:rPr>
  </w:style>
  <w:style w:type="character" w:customStyle="1" w:styleId="ConsPlusTitle0">
    <w:name w:val="ConsPlusTitle Знак"/>
    <w:link w:val="ConsPlusTitle"/>
    <w:locked/>
    <w:rsid w:val="00A44566"/>
    <w:rPr>
      <w:rFonts w:ascii="Arial" w:hAnsi="Arial" w:cs="Arial"/>
      <w:b/>
      <w:bCs/>
    </w:rPr>
  </w:style>
  <w:style w:type="paragraph" w:customStyle="1" w:styleId="2110">
    <w:name w:val="Основной текст 211"/>
    <w:basedOn w:val="a"/>
    <w:uiPriority w:val="34"/>
    <w:qFormat/>
    <w:rsid w:val="00A4456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34"/>
    <w:qFormat/>
    <w:rsid w:val="00A44566"/>
    <w:pPr>
      <w:suppressAutoHyphens/>
      <w:spacing w:line="360" w:lineRule="auto"/>
      <w:ind w:left="360" w:firstLine="709"/>
      <w:jc w:val="center"/>
    </w:pPr>
    <w:rPr>
      <w:b/>
      <w:bCs/>
      <w:caps/>
      <w:sz w:val="24"/>
      <w:szCs w:val="24"/>
      <w:lang w:eastAsia="ar-SA"/>
    </w:rPr>
  </w:style>
  <w:style w:type="character" w:customStyle="1" w:styleId="1fffb">
    <w:name w:val="Подзаголовок Знак1"/>
    <w:basedOn w:val="a1"/>
    <w:rsid w:val="00A44566"/>
    <w:rPr>
      <w:rFonts w:asciiTheme="minorHAnsi" w:eastAsiaTheme="minorEastAsia" w:hAnsiTheme="minorHAnsi" w:cstheme="minorBidi"/>
      <w:color w:val="5A5A5A" w:themeColor="text1" w:themeTint="A5"/>
      <w:spacing w:val="15"/>
      <w:sz w:val="22"/>
      <w:szCs w:val="22"/>
    </w:rPr>
  </w:style>
  <w:style w:type="character" w:customStyle="1" w:styleId="1fffc">
    <w:name w:val="Нижний колонтитул Знак1"/>
    <w:basedOn w:val="a1"/>
    <w:semiHidden/>
    <w:rsid w:val="00A44566"/>
    <w:rPr>
      <w:sz w:val="28"/>
      <w:szCs w:val="28"/>
    </w:rPr>
  </w:style>
  <w:style w:type="character" w:customStyle="1" w:styleId="1fffd">
    <w:name w:val="Основной текст с отступом Знак1"/>
    <w:basedOn w:val="a1"/>
    <w:semiHidden/>
    <w:rsid w:val="00A44566"/>
    <w:rPr>
      <w:sz w:val="28"/>
      <w:szCs w:val="28"/>
    </w:rPr>
  </w:style>
  <w:style w:type="paragraph" w:customStyle="1" w:styleId="232">
    <w:name w:val="Знак23"/>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uiPriority w:val="34"/>
    <w:qFormat/>
    <w:rsid w:val="00A44566"/>
    <w:pPr>
      <w:spacing w:after="160" w:line="240" w:lineRule="exact"/>
    </w:pPr>
    <w:rPr>
      <w:rFonts w:ascii="Verdana" w:hAnsi="Verdana"/>
      <w:sz w:val="20"/>
      <w:szCs w:val="20"/>
      <w:lang w:val="en-US" w:eastAsia="en-US"/>
    </w:rPr>
  </w:style>
  <w:style w:type="character" w:customStyle="1" w:styleId="1fffe">
    <w:name w:val="Обычный1 Знак"/>
    <w:basedOn w:val="a1"/>
    <w:link w:val="111"/>
    <w:locked/>
    <w:rsid w:val="00A44566"/>
    <w:rPr>
      <w:sz w:val="28"/>
    </w:rPr>
  </w:style>
  <w:style w:type="paragraph" w:customStyle="1" w:styleId="111">
    <w:name w:val="Обычный11"/>
    <w:link w:val="1fffe"/>
    <w:qFormat/>
    <w:rsid w:val="00A44566"/>
    <w:rPr>
      <w:sz w:val="28"/>
    </w:rPr>
  </w:style>
  <w:style w:type="paragraph" w:customStyle="1" w:styleId="112">
    <w:name w:val="Основной текст11"/>
    <w:basedOn w:val="111"/>
    <w:qFormat/>
    <w:rsid w:val="00A44566"/>
    <w:pPr>
      <w:snapToGrid w:val="0"/>
      <w:jc w:val="both"/>
    </w:pPr>
    <w:rPr>
      <w:rFonts w:ascii="a_Timer" w:hAnsi="a_Timer"/>
    </w:rPr>
  </w:style>
  <w:style w:type="paragraph" w:customStyle="1" w:styleId="21e">
    <w:name w:val="Цитата21"/>
    <w:basedOn w:val="a"/>
    <w:uiPriority w:val="34"/>
    <w:qFormat/>
    <w:rsid w:val="00A44566"/>
    <w:pPr>
      <w:suppressAutoHyphens/>
      <w:spacing w:line="360" w:lineRule="auto"/>
      <w:ind w:left="526" w:right="43" w:firstLine="709"/>
      <w:jc w:val="both"/>
    </w:pPr>
    <w:rPr>
      <w:szCs w:val="20"/>
      <w:lang w:eastAsia="ar-SA"/>
    </w:rPr>
  </w:style>
  <w:style w:type="paragraph" w:customStyle="1" w:styleId="21f">
    <w:name w:val="Марки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1f0">
    <w:name w:val="Нумерованный список21"/>
    <w:basedOn w:val="a"/>
    <w:uiPriority w:val="34"/>
    <w:qFormat/>
    <w:rsid w:val="00A44566"/>
    <w:pPr>
      <w:suppressAutoHyphens/>
      <w:spacing w:before="280" w:after="280" w:line="360" w:lineRule="auto"/>
      <w:ind w:firstLine="709"/>
      <w:jc w:val="both"/>
    </w:pPr>
    <w:rPr>
      <w:szCs w:val="24"/>
      <w:lang w:eastAsia="ar-SA"/>
    </w:rPr>
  </w:style>
  <w:style w:type="paragraph" w:customStyle="1" w:styleId="222">
    <w:name w:val="Знак22"/>
    <w:basedOn w:val="a"/>
    <w:uiPriority w:val="34"/>
    <w:qFormat/>
    <w:rsid w:val="00A4456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uiPriority w:val="34"/>
    <w:qFormat/>
    <w:rsid w:val="00A44566"/>
    <w:pPr>
      <w:spacing w:after="160" w:line="240" w:lineRule="exact"/>
    </w:pPr>
    <w:rPr>
      <w:rFonts w:ascii="Verdana" w:hAnsi="Verdana"/>
      <w:sz w:val="20"/>
      <w:szCs w:val="20"/>
      <w:lang w:val="en-US" w:eastAsia="en-US"/>
    </w:rPr>
  </w:style>
  <w:style w:type="paragraph" w:customStyle="1" w:styleId="3e">
    <w:name w:val="Название объекта3"/>
    <w:basedOn w:val="a"/>
    <w:uiPriority w:val="34"/>
    <w:qFormat/>
    <w:rsid w:val="00A44566"/>
    <w:pPr>
      <w:suppressAutoHyphens/>
      <w:spacing w:line="360" w:lineRule="auto"/>
      <w:ind w:left="1080" w:firstLine="709"/>
      <w:jc w:val="both"/>
    </w:pPr>
    <w:rPr>
      <w:rFonts w:ascii="Arial" w:hAnsi="Arial" w:cs="Arial"/>
      <w:spacing w:val="-5"/>
      <w:sz w:val="20"/>
      <w:szCs w:val="20"/>
      <w:lang w:eastAsia="ar-SA"/>
    </w:rPr>
  </w:style>
  <w:style w:type="paragraph" w:customStyle="1" w:styleId="2f9">
    <w:name w:val="Абзац списка2"/>
    <w:basedOn w:val="a"/>
    <w:uiPriority w:val="34"/>
    <w:qFormat/>
    <w:rsid w:val="00A44566"/>
    <w:pPr>
      <w:ind w:left="720"/>
      <w:contextualSpacing/>
    </w:pPr>
    <w:rPr>
      <w:sz w:val="24"/>
      <w:szCs w:val="24"/>
    </w:rPr>
  </w:style>
  <w:style w:type="character" w:customStyle="1" w:styleId="71">
    <w:name w:val="Заголовок 7 Знак1"/>
    <w:basedOn w:val="a1"/>
    <w:semiHidden/>
    <w:rsid w:val="00A44566"/>
    <w:rPr>
      <w:rFonts w:asciiTheme="majorHAnsi" w:eastAsiaTheme="majorEastAsia" w:hAnsiTheme="majorHAnsi" w:cstheme="majorBidi"/>
      <w:i/>
      <w:iCs/>
      <w:color w:val="243F60" w:themeColor="accent1" w:themeShade="7F"/>
      <w:sz w:val="28"/>
      <w:szCs w:val="28"/>
    </w:rPr>
  </w:style>
  <w:style w:type="character" w:customStyle="1" w:styleId="81">
    <w:name w:val="Заголовок 8 Знак1"/>
    <w:basedOn w:val="a1"/>
    <w:semiHidden/>
    <w:rsid w:val="00A44566"/>
    <w:rPr>
      <w:rFonts w:asciiTheme="majorHAnsi" w:eastAsiaTheme="majorEastAsia" w:hAnsiTheme="majorHAnsi" w:cstheme="majorBidi"/>
      <w:color w:val="272727" w:themeColor="text1" w:themeTint="D8"/>
      <w:sz w:val="21"/>
      <w:szCs w:val="21"/>
    </w:rPr>
  </w:style>
  <w:style w:type="character" w:customStyle="1" w:styleId="91">
    <w:name w:val="Заголовок 9 Знак1"/>
    <w:basedOn w:val="a1"/>
    <w:semiHidden/>
    <w:rsid w:val="00A44566"/>
    <w:rPr>
      <w:rFonts w:asciiTheme="majorHAnsi" w:eastAsiaTheme="majorEastAsia" w:hAnsiTheme="majorHAnsi" w:cstheme="majorBidi"/>
      <w:i/>
      <w:iCs/>
      <w:color w:val="272727" w:themeColor="text1" w:themeTint="D8"/>
      <w:sz w:val="21"/>
      <w:szCs w:val="21"/>
    </w:rPr>
  </w:style>
  <w:style w:type="character" w:customStyle="1" w:styleId="21f1">
    <w:name w:val="Основной текст с отступом 2 Знак1"/>
    <w:basedOn w:val="a1"/>
    <w:semiHidden/>
    <w:rsid w:val="00A44566"/>
    <w:rPr>
      <w:sz w:val="28"/>
      <w:szCs w:val="28"/>
    </w:rPr>
  </w:style>
  <w:style w:type="character" w:customStyle="1" w:styleId="317">
    <w:name w:val="Основной текст с отступом 3 Знак1"/>
    <w:basedOn w:val="a1"/>
    <w:semiHidden/>
    <w:rsid w:val="00A44566"/>
    <w:rPr>
      <w:sz w:val="16"/>
      <w:szCs w:val="16"/>
    </w:rPr>
  </w:style>
  <w:style w:type="character" w:customStyle="1" w:styleId="3f">
    <w:name w:val="Знак Знак Знак Знак3"/>
    <w:basedOn w:val="16"/>
    <w:rsid w:val="00A44566"/>
    <w:rPr>
      <w:sz w:val="24"/>
      <w:szCs w:val="24"/>
      <w:lang w:val="ru-RU" w:eastAsia="ar-SA" w:bidi="ar-SA"/>
    </w:rPr>
  </w:style>
  <w:style w:type="character" w:customStyle="1" w:styleId="46">
    <w:name w:val="Знак4"/>
    <w:basedOn w:val="16"/>
    <w:rsid w:val="00A44566"/>
    <w:rPr>
      <w:sz w:val="24"/>
      <w:szCs w:val="24"/>
      <w:lang w:val="ru-RU" w:eastAsia="ar-SA" w:bidi="ar-SA"/>
    </w:rPr>
  </w:style>
  <w:style w:type="character" w:customStyle="1" w:styleId="1ffff">
    <w:name w:val="Электронная подпись Знак1"/>
    <w:basedOn w:val="a1"/>
    <w:semiHidden/>
    <w:rsid w:val="00A44566"/>
    <w:rPr>
      <w:sz w:val="28"/>
      <w:szCs w:val="28"/>
    </w:rPr>
  </w:style>
  <w:style w:type="character" w:customStyle="1" w:styleId="1ffff0">
    <w:name w:val="Текст Знак1"/>
    <w:basedOn w:val="a1"/>
    <w:semiHidden/>
    <w:rsid w:val="00A44566"/>
    <w:rPr>
      <w:rFonts w:ascii="Consolas" w:hAnsi="Consolas" w:cs="Consolas"/>
      <w:sz w:val="21"/>
      <w:szCs w:val="21"/>
    </w:rPr>
  </w:style>
  <w:style w:type="character" w:customStyle="1" w:styleId="121">
    <w:name w:val="Знак12"/>
    <w:basedOn w:val="16"/>
    <w:rsid w:val="00A44566"/>
    <w:rPr>
      <w:rFonts w:ascii="Arial" w:hAnsi="Arial" w:cs="Arial" w:hint="default"/>
      <w:b/>
      <w:bCs/>
      <w:i/>
      <w:iCs/>
      <w:sz w:val="28"/>
      <w:szCs w:val="28"/>
      <w:lang w:val="ru-RU" w:eastAsia="ar-SA" w:bidi="ar-SA"/>
    </w:rPr>
  </w:style>
  <w:style w:type="character" w:customStyle="1" w:styleId="122">
    <w:name w:val="Знак Знак12"/>
    <w:basedOn w:val="16"/>
    <w:rsid w:val="00A44566"/>
    <w:rPr>
      <w:sz w:val="24"/>
      <w:szCs w:val="24"/>
      <w:u w:val="single"/>
      <w:lang w:val="ru-RU" w:eastAsia="ar-SA" w:bidi="ar-SA"/>
    </w:rPr>
  </w:style>
  <w:style w:type="character" w:customStyle="1" w:styleId="2120">
    <w:name w:val="Знак2 Знак Знак12"/>
    <w:basedOn w:val="16"/>
    <w:rsid w:val="00A44566"/>
    <w:rPr>
      <w:rFonts w:ascii="Arial" w:hAnsi="Arial" w:cs="Arial" w:hint="default"/>
      <w:b/>
      <w:bCs/>
      <w:i/>
      <w:iCs/>
      <w:sz w:val="28"/>
      <w:szCs w:val="28"/>
      <w:lang w:val="ru-RU" w:eastAsia="ar-SA" w:bidi="ar-SA"/>
    </w:rPr>
  </w:style>
  <w:style w:type="character" w:customStyle="1" w:styleId="320">
    <w:name w:val="Знак3 Знак Знак2"/>
    <w:basedOn w:val="16"/>
    <w:rsid w:val="00A44566"/>
    <w:rPr>
      <w:b/>
      <w:bCs w:val="0"/>
      <w:sz w:val="24"/>
      <w:szCs w:val="24"/>
      <w:u w:val="single"/>
      <w:lang w:val="ru-RU" w:eastAsia="ar-SA" w:bidi="ar-SA"/>
    </w:rPr>
  </w:style>
  <w:style w:type="character" w:customStyle="1" w:styleId="233">
    <w:name w:val="Знак2 Знак Знак3"/>
    <w:basedOn w:val="16"/>
    <w:rsid w:val="00A44566"/>
    <w:rPr>
      <w:b/>
      <w:bCs/>
      <w:sz w:val="24"/>
      <w:szCs w:val="24"/>
      <w:lang w:val="ru-RU" w:eastAsia="ar-SA" w:bidi="ar-SA"/>
    </w:rPr>
  </w:style>
  <w:style w:type="character" w:customStyle="1" w:styleId="123">
    <w:name w:val="Знак1 Знак Знак2"/>
    <w:basedOn w:val="16"/>
    <w:rsid w:val="00A44566"/>
    <w:rPr>
      <w:sz w:val="24"/>
      <w:szCs w:val="24"/>
      <w:lang w:val="ru-RU" w:eastAsia="ar-SA" w:bidi="ar-SA"/>
    </w:rPr>
  </w:style>
  <w:style w:type="character" w:customStyle="1" w:styleId="318">
    <w:name w:val="Основной текст 3 Знак1"/>
    <w:basedOn w:val="a1"/>
    <w:semiHidden/>
    <w:rsid w:val="00A44566"/>
    <w:rPr>
      <w:sz w:val="16"/>
      <w:szCs w:val="16"/>
    </w:rPr>
  </w:style>
  <w:style w:type="character" w:customStyle="1" w:styleId="1ffff1">
    <w:name w:val="Текст сноски Знак1"/>
    <w:basedOn w:val="a1"/>
    <w:semiHidden/>
    <w:rsid w:val="00A44566"/>
  </w:style>
  <w:style w:type="character" w:customStyle="1" w:styleId="3f0">
    <w:name w:val="Знак3"/>
    <w:basedOn w:val="16"/>
    <w:rsid w:val="00A44566"/>
    <w:rPr>
      <w:rFonts w:ascii="Arial" w:hAnsi="Arial" w:cs="Arial" w:hint="default"/>
      <w:b/>
      <w:bCs/>
      <w:i/>
      <w:iCs/>
      <w:sz w:val="28"/>
      <w:szCs w:val="28"/>
      <w:lang w:val="ru-RU" w:eastAsia="ar-SA" w:bidi="ar-SA"/>
    </w:rPr>
  </w:style>
  <w:style w:type="character" w:customStyle="1" w:styleId="113">
    <w:name w:val="Знак11"/>
    <w:basedOn w:val="16"/>
    <w:rsid w:val="00A44566"/>
    <w:rPr>
      <w:rFonts w:ascii="Arial" w:hAnsi="Arial" w:cs="Arial" w:hint="default"/>
      <w:b/>
      <w:bCs/>
      <w:i/>
      <w:iCs/>
      <w:sz w:val="28"/>
      <w:szCs w:val="28"/>
      <w:lang w:val="ru-RU" w:eastAsia="ar-SA" w:bidi="ar-SA"/>
    </w:rPr>
  </w:style>
  <w:style w:type="character" w:customStyle="1" w:styleId="114">
    <w:name w:val="Знак Знак11"/>
    <w:basedOn w:val="16"/>
    <w:rsid w:val="00A44566"/>
    <w:rPr>
      <w:sz w:val="24"/>
      <w:szCs w:val="24"/>
      <w:u w:val="single"/>
      <w:lang w:val="ru-RU" w:eastAsia="ar-SA" w:bidi="ar-SA"/>
    </w:rPr>
  </w:style>
  <w:style w:type="character" w:customStyle="1" w:styleId="2112">
    <w:name w:val="Знак2 Знак Знак11"/>
    <w:basedOn w:val="16"/>
    <w:rsid w:val="00A44566"/>
    <w:rPr>
      <w:rFonts w:ascii="Arial" w:hAnsi="Arial" w:cs="Arial" w:hint="default"/>
      <w:b/>
      <w:bCs/>
      <w:i/>
      <w:iCs/>
      <w:sz w:val="28"/>
      <w:szCs w:val="28"/>
      <w:lang w:val="ru-RU" w:eastAsia="ar-SA" w:bidi="ar-SA"/>
    </w:rPr>
  </w:style>
  <w:style w:type="character" w:customStyle="1" w:styleId="2fa">
    <w:name w:val="Знак Знак Знак Знак2"/>
    <w:basedOn w:val="16"/>
    <w:rsid w:val="00A44566"/>
    <w:rPr>
      <w:sz w:val="24"/>
      <w:szCs w:val="24"/>
      <w:lang w:val="ru-RU" w:eastAsia="ar-SA" w:bidi="ar-SA"/>
    </w:rPr>
  </w:style>
  <w:style w:type="character" w:customStyle="1" w:styleId="319">
    <w:name w:val="Знак3 Знак Знак1"/>
    <w:basedOn w:val="16"/>
    <w:rsid w:val="00A44566"/>
    <w:rPr>
      <w:b/>
      <w:bCs w:val="0"/>
      <w:sz w:val="24"/>
      <w:szCs w:val="24"/>
      <w:u w:val="single"/>
      <w:lang w:val="ru-RU" w:eastAsia="ar-SA" w:bidi="ar-SA"/>
    </w:rPr>
  </w:style>
  <w:style w:type="character" w:customStyle="1" w:styleId="223">
    <w:name w:val="Знак2 Знак Знак2"/>
    <w:basedOn w:val="16"/>
    <w:rsid w:val="00A44566"/>
    <w:rPr>
      <w:b/>
      <w:bCs/>
      <w:sz w:val="24"/>
      <w:szCs w:val="24"/>
      <w:lang w:val="ru-RU" w:eastAsia="ar-SA" w:bidi="ar-SA"/>
    </w:rPr>
  </w:style>
  <w:style w:type="character" w:customStyle="1" w:styleId="115">
    <w:name w:val="Знак1 Знак Знак1"/>
    <w:basedOn w:val="16"/>
    <w:rsid w:val="00A44566"/>
    <w:rPr>
      <w:sz w:val="24"/>
      <w:szCs w:val="24"/>
      <w:lang w:val="ru-RU" w:eastAsia="ar-SA" w:bidi="ar-SA"/>
    </w:rPr>
  </w:style>
  <w:style w:type="character" w:customStyle="1" w:styleId="FontStyle14">
    <w:name w:val="Font Style14"/>
    <w:basedOn w:val="a1"/>
    <w:rsid w:val="00A44566"/>
    <w:rPr>
      <w:rFonts w:ascii="Times New Roman" w:hAnsi="Times New Roman" w:cs="Times New Roman" w:hint="default"/>
      <w:b/>
      <w:bCs/>
      <w:sz w:val="26"/>
      <w:szCs w:val="26"/>
    </w:rPr>
  </w:style>
  <w:style w:type="character" w:customStyle="1" w:styleId="docaccesstitle1">
    <w:name w:val="docaccess_title1"/>
    <w:basedOn w:val="a1"/>
    <w:rsid w:val="00A44566"/>
    <w:rPr>
      <w:rFonts w:ascii="Times New Roman" w:hAnsi="Times New Roman" w:cs="Times New Roman" w:hint="default"/>
      <w:sz w:val="28"/>
      <w:szCs w:val="28"/>
    </w:rPr>
  </w:style>
  <w:style w:type="character" w:customStyle="1" w:styleId="submenu-table">
    <w:name w:val="submenu-table"/>
    <w:basedOn w:val="a1"/>
    <w:rsid w:val="00A44566"/>
  </w:style>
  <w:style w:type="character" w:customStyle="1" w:styleId="docaccessactnever">
    <w:name w:val="docaccess_act_never"/>
    <w:basedOn w:val="a1"/>
    <w:rsid w:val="00A44566"/>
  </w:style>
  <w:style w:type="character" w:customStyle="1" w:styleId="docaccessbase">
    <w:name w:val="docaccess_base"/>
    <w:basedOn w:val="a1"/>
    <w:rsid w:val="00A44566"/>
  </w:style>
  <w:style w:type="table" w:customStyle="1" w:styleId="2fb">
    <w:name w:val="Сетка таблицы2"/>
    <w:basedOn w:val="a2"/>
    <w:uiPriority w:val="59"/>
    <w:rsid w:val="00A445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semiHidden/>
    <w:rsid w:val="003510D9"/>
  </w:style>
  <w:style w:type="paragraph" w:customStyle="1" w:styleId="Style2">
    <w:name w:val="Style2"/>
    <w:basedOn w:val="a"/>
    <w:rsid w:val="003510D9"/>
    <w:pPr>
      <w:widowControl w:val="0"/>
      <w:autoSpaceDE w:val="0"/>
      <w:autoSpaceDN w:val="0"/>
      <w:adjustRightInd w:val="0"/>
      <w:spacing w:line="322" w:lineRule="exact"/>
    </w:pPr>
    <w:rPr>
      <w:sz w:val="24"/>
      <w:szCs w:val="24"/>
    </w:rPr>
  </w:style>
  <w:style w:type="paragraph" w:customStyle="1" w:styleId="Style3">
    <w:name w:val="Style3"/>
    <w:basedOn w:val="a"/>
    <w:rsid w:val="003510D9"/>
    <w:pPr>
      <w:widowControl w:val="0"/>
      <w:autoSpaceDE w:val="0"/>
      <w:autoSpaceDN w:val="0"/>
      <w:adjustRightInd w:val="0"/>
      <w:spacing w:line="321" w:lineRule="exact"/>
      <w:ind w:firstLine="595"/>
      <w:jc w:val="both"/>
    </w:pPr>
    <w:rPr>
      <w:sz w:val="24"/>
      <w:szCs w:val="24"/>
    </w:rPr>
  </w:style>
  <w:style w:type="paragraph" w:customStyle="1" w:styleId="Style5">
    <w:name w:val="Style5"/>
    <w:basedOn w:val="a"/>
    <w:rsid w:val="003510D9"/>
    <w:pPr>
      <w:widowControl w:val="0"/>
      <w:autoSpaceDE w:val="0"/>
      <w:autoSpaceDN w:val="0"/>
      <w:adjustRightInd w:val="0"/>
      <w:spacing w:line="322" w:lineRule="exact"/>
      <w:ind w:firstLine="595"/>
      <w:jc w:val="both"/>
    </w:pPr>
    <w:rPr>
      <w:sz w:val="24"/>
      <w:szCs w:val="24"/>
    </w:rPr>
  </w:style>
  <w:style w:type="character" w:customStyle="1" w:styleId="FontStyle11">
    <w:name w:val="Font Style11"/>
    <w:rsid w:val="003510D9"/>
    <w:rPr>
      <w:rFonts w:ascii="Times New Roman" w:hAnsi="Times New Roman" w:cs="Times New Roman"/>
      <w:sz w:val="26"/>
      <w:szCs w:val="26"/>
    </w:rPr>
  </w:style>
  <w:style w:type="character" w:customStyle="1" w:styleId="FontStyle12">
    <w:name w:val="Font Style12"/>
    <w:rsid w:val="003510D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8207522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13838900">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03760259">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598005">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1632955">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498736">
      <w:bodyDiv w:val="1"/>
      <w:marLeft w:val="0"/>
      <w:marRight w:val="0"/>
      <w:marTop w:val="0"/>
      <w:marBottom w:val="0"/>
      <w:divBdr>
        <w:top w:val="none" w:sz="0" w:space="0" w:color="auto"/>
        <w:left w:val="none" w:sz="0" w:space="0" w:color="auto"/>
        <w:bottom w:val="none" w:sz="0" w:space="0" w:color="auto"/>
        <w:right w:val="none" w:sz="0" w:space="0" w:color="auto"/>
      </w:divBdr>
    </w:div>
    <w:div w:id="394595126">
      <w:bodyDiv w:val="1"/>
      <w:marLeft w:val="0"/>
      <w:marRight w:val="0"/>
      <w:marTop w:val="0"/>
      <w:marBottom w:val="0"/>
      <w:divBdr>
        <w:top w:val="none" w:sz="0" w:space="0" w:color="auto"/>
        <w:left w:val="none" w:sz="0" w:space="0" w:color="auto"/>
        <w:bottom w:val="none" w:sz="0" w:space="0" w:color="auto"/>
        <w:right w:val="none" w:sz="0" w:space="0" w:color="auto"/>
      </w:divBdr>
    </w:div>
    <w:div w:id="399913765">
      <w:bodyDiv w:val="1"/>
      <w:marLeft w:val="0"/>
      <w:marRight w:val="0"/>
      <w:marTop w:val="0"/>
      <w:marBottom w:val="0"/>
      <w:divBdr>
        <w:top w:val="none" w:sz="0" w:space="0" w:color="auto"/>
        <w:left w:val="none" w:sz="0" w:space="0" w:color="auto"/>
        <w:bottom w:val="none" w:sz="0" w:space="0" w:color="auto"/>
        <w:right w:val="none" w:sz="0" w:space="0" w:color="auto"/>
      </w:divBdr>
    </w:div>
    <w:div w:id="40333201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5795719">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3755718">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006494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6812943">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117345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80289613">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7243867">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8379525">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7171862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36499801">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5080043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5479285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8843724">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81501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1748835">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2491986">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7037141">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3BDF1-CA0A-41E9-8787-339173077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6529</Words>
  <Characters>37218</Characters>
  <Application>Microsoft Office Word</Application>
  <DocSecurity>4</DocSecurity>
  <Lines>310</Lines>
  <Paragraphs>87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Чиликина Евгения Михайловна</dc:creator>
  <cp:lastModifiedBy>Моисеева Елена Викторовна</cp:lastModifiedBy>
  <cp:revision>2</cp:revision>
  <cp:lastPrinted>2019-07-17T10:32:00Z</cp:lastPrinted>
  <dcterms:created xsi:type="dcterms:W3CDTF">2019-07-23T05:54:00Z</dcterms:created>
  <dcterms:modified xsi:type="dcterms:W3CDTF">2019-07-23T05:54:00Z</dcterms:modified>
</cp:coreProperties>
</file>